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8E3" w:rsidRPr="00567C79" w:rsidRDefault="00D408E3" w:rsidP="008B32DF">
      <w:pPr>
        <w:pStyle w:val="Maintext"/>
        <w:rPr>
          <w:lang w:val="nl-NL"/>
        </w:rPr>
      </w:pPr>
    </w:p>
    <w:p w:rsidR="00D408E3" w:rsidRPr="00567C79" w:rsidRDefault="00D408E3" w:rsidP="008B32DF">
      <w:pPr>
        <w:pStyle w:val="Maintext"/>
        <w:rPr>
          <w:lang w:val="nl-NL"/>
        </w:rPr>
      </w:pPr>
    </w:p>
    <w:p w:rsidR="00D408E3" w:rsidRPr="00567C79" w:rsidRDefault="00D408E3" w:rsidP="008B32DF">
      <w:pPr>
        <w:pStyle w:val="Maintext"/>
        <w:rPr>
          <w:lang w:val="nl-NL"/>
        </w:rPr>
      </w:pPr>
    </w:p>
    <w:p w:rsidR="00D408E3" w:rsidRPr="00567C79" w:rsidRDefault="00D408E3" w:rsidP="008B32DF">
      <w:pPr>
        <w:pStyle w:val="Maintext"/>
        <w:rPr>
          <w:lang w:val="nl-NL"/>
        </w:rPr>
      </w:pPr>
    </w:p>
    <w:p w:rsidR="00D408E3" w:rsidRDefault="00D408E3" w:rsidP="008B32DF">
      <w:pPr>
        <w:pStyle w:val="Maintext"/>
        <w:rPr>
          <w:lang w:val="fr-BE"/>
        </w:rPr>
      </w:pPr>
    </w:p>
    <w:p w:rsidR="00D408E3" w:rsidRPr="00005D4C" w:rsidRDefault="00D408E3" w:rsidP="008B32DF">
      <w:pPr>
        <w:pStyle w:val="Maintext"/>
        <w:rPr>
          <w:lang w:val="fr-BE"/>
        </w:rPr>
      </w:pPr>
      <w:r w:rsidRPr="00005D4C">
        <w:rPr>
          <w:lang w:val="fr-BE"/>
        </w:rPr>
        <w:t>Contact: Gaëlle Vilatte</w:t>
      </w:r>
      <w:bookmarkStart w:id="0" w:name="_GoBack"/>
      <w:bookmarkEnd w:id="0"/>
    </w:p>
    <w:p w:rsidR="00D408E3" w:rsidRPr="00005D4C" w:rsidRDefault="00D408E3" w:rsidP="008B32DF">
      <w:pPr>
        <w:pStyle w:val="Maintext"/>
        <w:rPr>
          <w:lang w:val="fr-BE"/>
        </w:rPr>
      </w:pPr>
      <w:r w:rsidRPr="00005D4C">
        <w:rPr>
          <w:lang w:val="fr-BE"/>
        </w:rPr>
        <w:t>Press &amp; Communications</w:t>
      </w:r>
    </w:p>
    <w:p w:rsidR="00D408E3" w:rsidRPr="00005D4C" w:rsidRDefault="00D408E3" w:rsidP="008B32DF">
      <w:pPr>
        <w:pStyle w:val="Maintext"/>
        <w:rPr>
          <w:lang w:val="fr-BE"/>
        </w:rPr>
      </w:pPr>
      <w:r w:rsidRPr="00005D4C">
        <w:rPr>
          <w:lang w:val="fr-BE"/>
        </w:rPr>
        <w:t xml:space="preserve">Tel. + 32 2 600 61 64 </w:t>
      </w:r>
    </w:p>
    <w:p w:rsidR="00D408E3" w:rsidRPr="00FE4D85" w:rsidRDefault="00D408E3" w:rsidP="009F16AA">
      <w:pPr>
        <w:pStyle w:val="Maintext"/>
        <w:rPr>
          <w:kern w:val="36"/>
          <w:lang w:val="nl-NL" w:eastAsia="nl-BE"/>
        </w:rPr>
      </w:pPr>
      <w:r w:rsidRPr="005A3065">
        <w:rPr>
          <w:lang w:val="nl-BE"/>
        </w:rPr>
        <w:t xml:space="preserve">Email: </w:t>
      </w:r>
      <w:hyperlink r:id="rId7" w:history="1">
        <w:r w:rsidRPr="005A3065">
          <w:rPr>
            <w:rStyle w:val="Hyperlink"/>
            <w:lang w:val="nl-BE"/>
          </w:rPr>
          <w:t>gvilatte@deloitte.com</w:t>
        </w:r>
      </w:hyperlink>
    </w:p>
    <w:p w:rsidR="00D408E3" w:rsidRPr="0067662A" w:rsidRDefault="00D408E3" w:rsidP="00FE4D85">
      <w:pPr>
        <w:pStyle w:val="LMBullet2white"/>
        <w:numPr>
          <w:ilvl w:val="0"/>
          <w:numId w:val="0"/>
        </w:numPr>
        <w:tabs>
          <w:tab w:val="left" w:pos="708"/>
        </w:tabs>
        <w:spacing w:line="288" w:lineRule="auto"/>
        <w:jc w:val="center"/>
        <w:rPr>
          <w:rFonts w:ascii="Times New Roman" w:hAnsi="Times New Roman"/>
          <w:b/>
          <w:bCs/>
          <w:color w:val="auto"/>
          <w:sz w:val="28"/>
          <w:szCs w:val="28"/>
          <w:lang w:val="nl-NL"/>
        </w:rPr>
      </w:pPr>
    </w:p>
    <w:p w:rsidR="00D408E3" w:rsidRPr="0067662A" w:rsidRDefault="00D408E3" w:rsidP="00F362E1">
      <w:pPr>
        <w:jc w:val="center"/>
        <w:outlineLvl w:val="0"/>
        <w:rPr>
          <w:rFonts w:ascii="Times New Roman" w:hAnsi="Times New Roman"/>
          <w:bCs/>
          <w:i/>
          <w:kern w:val="36"/>
          <w:sz w:val="32"/>
          <w:szCs w:val="22"/>
          <w:lang w:val="nl-NL" w:eastAsia="nl-BE"/>
        </w:rPr>
      </w:pPr>
      <w:r w:rsidRPr="0067662A">
        <w:rPr>
          <w:rFonts w:ascii="Times New Roman" w:hAnsi="Times New Roman"/>
          <w:b/>
          <w:sz w:val="32"/>
          <w:szCs w:val="22"/>
          <w:lang w:val="nl-NL" w:eastAsia="nl-BE"/>
        </w:rPr>
        <w:t xml:space="preserve">Operationele en financiële rendement van Belgische kmo </w:t>
      </w:r>
      <w:r w:rsidRPr="0067662A">
        <w:rPr>
          <w:rFonts w:ascii="Times New Roman" w:hAnsi="Times New Roman"/>
          <w:b/>
          <w:sz w:val="32"/>
          <w:szCs w:val="22"/>
          <w:lang w:val="nl-NL" w:eastAsia="nl-BE"/>
        </w:rPr>
        <w:br/>
        <w:t xml:space="preserve">nog niet helemaal hersteld van 2008 crisis </w:t>
      </w:r>
    </w:p>
    <w:p w:rsidR="00D408E3" w:rsidRPr="0067662A" w:rsidRDefault="00D408E3" w:rsidP="007D48C1">
      <w:pPr>
        <w:jc w:val="center"/>
        <w:outlineLvl w:val="0"/>
        <w:rPr>
          <w:rFonts w:ascii="Times New Roman" w:hAnsi="Times New Roman"/>
          <w:bCs/>
          <w:i/>
          <w:kern w:val="36"/>
          <w:sz w:val="22"/>
          <w:szCs w:val="22"/>
          <w:lang w:val="nl-NL" w:eastAsia="nl-BE"/>
        </w:rPr>
      </w:pPr>
    </w:p>
    <w:p w:rsidR="00D408E3" w:rsidRPr="0067662A" w:rsidRDefault="00D408E3" w:rsidP="007D48C1">
      <w:pPr>
        <w:jc w:val="center"/>
        <w:outlineLvl w:val="0"/>
        <w:rPr>
          <w:rFonts w:ascii="Times New Roman" w:hAnsi="Times New Roman"/>
          <w:bCs/>
          <w:i/>
          <w:kern w:val="36"/>
          <w:sz w:val="22"/>
          <w:szCs w:val="22"/>
          <w:lang w:val="nl-NL" w:eastAsia="nl-BE"/>
        </w:rPr>
      </w:pPr>
      <w:r w:rsidRPr="0067662A">
        <w:rPr>
          <w:rFonts w:ascii="Times New Roman" w:hAnsi="Times New Roman"/>
          <w:bCs/>
          <w:i/>
          <w:kern w:val="36"/>
          <w:sz w:val="22"/>
          <w:szCs w:val="22"/>
          <w:lang w:val="nl-NL" w:eastAsia="nl-BE"/>
        </w:rPr>
        <w:t xml:space="preserve">Slechts 41% van de kmo’s realiseert voorbije 3 jaar reële omzetgroei </w:t>
      </w:r>
    </w:p>
    <w:p w:rsidR="00D408E3" w:rsidRPr="0067662A" w:rsidRDefault="00D408E3" w:rsidP="007D4D73">
      <w:pPr>
        <w:jc w:val="center"/>
        <w:outlineLvl w:val="0"/>
        <w:rPr>
          <w:rFonts w:ascii="Times New Roman" w:hAnsi="Times New Roman"/>
          <w:bCs/>
          <w:i/>
          <w:kern w:val="36"/>
          <w:sz w:val="22"/>
          <w:szCs w:val="22"/>
          <w:lang w:val="nl-NL" w:eastAsia="nl-BE"/>
        </w:rPr>
      </w:pPr>
    </w:p>
    <w:p w:rsidR="00D408E3" w:rsidRPr="0067662A" w:rsidRDefault="00D408E3" w:rsidP="007D48C1">
      <w:pPr>
        <w:jc w:val="center"/>
        <w:outlineLvl w:val="0"/>
        <w:rPr>
          <w:rFonts w:ascii="Times New Roman" w:hAnsi="Times New Roman"/>
          <w:i/>
          <w:sz w:val="22"/>
          <w:szCs w:val="22"/>
          <w:lang w:val="nl-NL" w:eastAsia="nl-BE"/>
        </w:rPr>
      </w:pPr>
      <w:r w:rsidRPr="0067662A">
        <w:rPr>
          <w:rFonts w:ascii="Times New Roman" w:hAnsi="Times New Roman"/>
          <w:i/>
          <w:sz w:val="22"/>
          <w:szCs w:val="22"/>
          <w:lang w:val="nl-NL" w:eastAsia="nl-BE"/>
        </w:rPr>
        <w:t xml:space="preserve">55% bedrijfsleiders zien voorbije 3 jaar waarde van hun kmo dalen, maar opvallend herstel in 2010 </w:t>
      </w:r>
    </w:p>
    <w:p w:rsidR="00D408E3" w:rsidRPr="0067662A" w:rsidRDefault="00D408E3" w:rsidP="007D48C1">
      <w:pPr>
        <w:jc w:val="center"/>
        <w:outlineLvl w:val="0"/>
        <w:rPr>
          <w:rFonts w:ascii="Times New Roman" w:hAnsi="Times New Roman"/>
          <w:bCs/>
          <w:i/>
          <w:kern w:val="36"/>
          <w:sz w:val="22"/>
          <w:szCs w:val="22"/>
          <w:lang w:val="nl-BE" w:eastAsia="nl-BE"/>
        </w:rPr>
      </w:pPr>
    </w:p>
    <w:p w:rsidR="00D408E3" w:rsidRPr="00ED5E8F" w:rsidRDefault="00D408E3" w:rsidP="007D48C1">
      <w:pPr>
        <w:jc w:val="center"/>
        <w:outlineLvl w:val="0"/>
        <w:rPr>
          <w:rFonts w:ascii="Times New Roman" w:hAnsi="Times New Roman"/>
          <w:bCs/>
          <w:i/>
          <w:color w:val="000000"/>
          <w:kern w:val="36"/>
          <w:sz w:val="22"/>
          <w:szCs w:val="22"/>
          <w:lang w:val="nl-NL" w:eastAsia="nl-BE"/>
        </w:rPr>
      </w:pPr>
      <w:r w:rsidRPr="0067662A">
        <w:rPr>
          <w:rFonts w:ascii="Times New Roman" w:hAnsi="Times New Roman"/>
          <w:bCs/>
          <w:i/>
          <w:kern w:val="36"/>
          <w:sz w:val="22"/>
          <w:szCs w:val="22"/>
          <w:lang w:val="nl-NL" w:eastAsia="nl-BE"/>
        </w:rPr>
        <w:t xml:space="preserve"> “KMO Kompas 2011” van Deloitte Fiduciaire gaat na of </w:t>
      </w:r>
      <w:r w:rsidRPr="0067662A">
        <w:rPr>
          <w:rFonts w:ascii="Times New Roman" w:hAnsi="Times New Roman"/>
          <w:bCs/>
          <w:i/>
          <w:kern w:val="36"/>
          <w:sz w:val="22"/>
          <w:szCs w:val="22"/>
          <w:lang w:val="nl-NL" w:eastAsia="nl-BE"/>
        </w:rPr>
        <w:br/>
        <w:t>de Belgische kmo klaar is om een nieuwe</w:t>
      </w:r>
      <w:r w:rsidRPr="00ED5E8F">
        <w:rPr>
          <w:rFonts w:ascii="Times New Roman" w:hAnsi="Times New Roman"/>
          <w:bCs/>
          <w:i/>
          <w:color w:val="000000"/>
          <w:kern w:val="36"/>
          <w:sz w:val="22"/>
          <w:szCs w:val="22"/>
          <w:lang w:val="nl-NL" w:eastAsia="nl-BE"/>
        </w:rPr>
        <w:t xml:space="preserve"> crisis te verwerken</w:t>
      </w:r>
    </w:p>
    <w:p w:rsidR="00D408E3" w:rsidRPr="00ED5E8F" w:rsidRDefault="00D408E3" w:rsidP="007D48C1">
      <w:pPr>
        <w:rPr>
          <w:rFonts w:ascii="Times New Roman" w:hAnsi="Times New Roman"/>
          <w:b/>
          <w:bCs/>
          <w:color w:val="000000"/>
          <w:sz w:val="22"/>
          <w:szCs w:val="22"/>
          <w:lang w:val="nl-NL" w:eastAsia="nl-BE"/>
        </w:rPr>
      </w:pPr>
    </w:p>
    <w:p w:rsidR="00D408E3" w:rsidRDefault="00D408E3" w:rsidP="007637C9">
      <w:pPr>
        <w:rPr>
          <w:rFonts w:ascii="Times New Roman" w:hAnsi="Times New Roman"/>
          <w:b/>
          <w:color w:val="333333"/>
          <w:sz w:val="22"/>
          <w:szCs w:val="22"/>
          <w:lang w:val="nl-NL" w:eastAsia="nl-BE"/>
        </w:rPr>
      </w:pPr>
      <w:r w:rsidRPr="00B03E93">
        <w:rPr>
          <w:rFonts w:ascii="Times New Roman" w:hAnsi="Times New Roman"/>
          <w:b/>
          <w:bCs/>
          <w:sz w:val="22"/>
          <w:szCs w:val="22"/>
          <w:lang w:val="nl-NL" w:eastAsia="nl-BE"/>
        </w:rPr>
        <w:t>Brussel, 18 oktober 2011</w:t>
      </w:r>
      <w:r w:rsidRPr="00B03E93">
        <w:rPr>
          <w:rFonts w:ascii="Times New Roman" w:hAnsi="Times New Roman"/>
          <w:b/>
          <w:sz w:val="22"/>
          <w:szCs w:val="22"/>
          <w:lang w:val="nl-NL" w:eastAsia="nl-BE"/>
        </w:rPr>
        <w:t xml:space="preserve"> – Deloitte Fiduciaire, marktleider inzake accountancy, fiscaal-juridisch en financieel advies aan familiale ondernemers en </w:t>
      </w:r>
      <w:r>
        <w:rPr>
          <w:rFonts w:ascii="Times New Roman" w:hAnsi="Times New Roman"/>
          <w:b/>
          <w:sz w:val="22"/>
          <w:szCs w:val="22"/>
          <w:lang w:val="nl-NL" w:eastAsia="nl-BE"/>
        </w:rPr>
        <w:t>kmo</w:t>
      </w:r>
      <w:r w:rsidRPr="00B03E93">
        <w:rPr>
          <w:rFonts w:ascii="Times New Roman" w:hAnsi="Times New Roman"/>
          <w:b/>
          <w:sz w:val="22"/>
          <w:szCs w:val="22"/>
          <w:lang w:val="nl-NL" w:eastAsia="nl-BE"/>
        </w:rPr>
        <w:t xml:space="preserve">’s, maakt vandaag opmerkelijke resultaten bekend van haar </w:t>
      </w:r>
      <w:r>
        <w:rPr>
          <w:rFonts w:ascii="Times New Roman" w:hAnsi="Times New Roman"/>
          <w:b/>
          <w:sz w:val="22"/>
          <w:szCs w:val="22"/>
          <w:lang w:val="nl-NL" w:eastAsia="nl-BE"/>
        </w:rPr>
        <w:t>KMO Kompas</w:t>
      </w:r>
      <w:r w:rsidRPr="00B03E93">
        <w:rPr>
          <w:rFonts w:ascii="Times New Roman" w:hAnsi="Times New Roman"/>
          <w:b/>
          <w:sz w:val="22"/>
          <w:szCs w:val="22"/>
          <w:lang w:val="nl-NL" w:eastAsia="nl-BE"/>
        </w:rPr>
        <w:t xml:space="preserve"> 2011. Deze studie vergelijkt de financiële performantie van de Belgische </w:t>
      </w:r>
      <w:r>
        <w:rPr>
          <w:rFonts w:ascii="Times New Roman" w:hAnsi="Times New Roman"/>
          <w:b/>
          <w:sz w:val="22"/>
          <w:szCs w:val="22"/>
          <w:lang w:val="nl-NL" w:eastAsia="nl-BE"/>
        </w:rPr>
        <w:t>kmo</w:t>
      </w:r>
      <w:r w:rsidRPr="00B03E93">
        <w:rPr>
          <w:rFonts w:ascii="Times New Roman" w:hAnsi="Times New Roman"/>
          <w:b/>
          <w:sz w:val="22"/>
          <w:szCs w:val="22"/>
          <w:lang w:val="nl-NL" w:eastAsia="nl-BE"/>
        </w:rPr>
        <w:t xml:space="preserve"> in 2010 met deze voor het uitbarsten van de crisis (2007). Noch de omzet</w:t>
      </w:r>
      <w:r>
        <w:rPr>
          <w:rFonts w:ascii="Times New Roman" w:hAnsi="Times New Roman"/>
          <w:b/>
          <w:color w:val="333333"/>
          <w:sz w:val="22"/>
          <w:szCs w:val="22"/>
          <w:lang w:val="nl-NL" w:eastAsia="nl-BE"/>
        </w:rPr>
        <w:t>, noch het rendement halen opnieuw het niveau van voor de crisis. Toch heeft de doorsnee kmo zich maximaal voorbereid om een eventuele nieuwe crisis te trotseren.</w:t>
      </w:r>
    </w:p>
    <w:p w:rsidR="00D408E3" w:rsidRDefault="00D408E3" w:rsidP="007D48C1">
      <w:pPr>
        <w:rPr>
          <w:rFonts w:ascii="Times New Roman" w:hAnsi="Times New Roman"/>
          <w:b/>
          <w:color w:val="333333"/>
          <w:sz w:val="22"/>
          <w:szCs w:val="22"/>
          <w:lang w:val="nl-NL" w:eastAsia="nl-BE"/>
        </w:rPr>
      </w:pPr>
    </w:p>
    <w:p w:rsidR="00D408E3" w:rsidRPr="009F16AA" w:rsidRDefault="00D408E3" w:rsidP="007D48C1">
      <w:pPr>
        <w:rPr>
          <w:rFonts w:ascii="Times New Roman" w:hAnsi="Times New Roman"/>
          <w:color w:val="333333"/>
          <w:sz w:val="22"/>
          <w:szCs w:val="22"/>
          <w:lang w:val="nl-NL" w:eastAsia="nl-BE"/>
        </w:rPr>
      </w:pPr>
      <w:r>
        <w:rPr>
          <w:rFonts w:ascii="Times New Roman" w:hAnsi="Times New Roman"/>
          <w:color w:val="333333"/>
          <w:sz w:val="22"/>
          <w:szCs w:val="22"/>
          <w:lang w:val="nl-NL" w:eastAsia="nl-BE"/>
        </w:rPr>
        <w:t xml:space="preserve">Enkele </w:t>
      </w:r>
      <w:r w:rsidRPr="009F16AA">
        <w:rPr>
          <w:rFonts w:ascii="Times New Roman" w:hAnsi="Times New Roman"/>
          <w:color w:val="333333"/>
          <w:sz w:val="22"/>
          <w:szCs w:val="22"/>
          <w:lang w:val="nl-NL" w:eastAsia="nl-BE"/>
        </w:rPr>
        <w:t>belang</w:t>
      </w:r>
      <w:r>
        <w:rPr>
          <w:rFonts w:ascii="Times New Roman" w:hAnsi="Times New Roman"/>
          <w:color w:val="333333"/>
          <w:sz w:val="22"/>
          <w:szCs w:val="22"/>
          <w:lang w:val="nl-NL" w:eastAsia="nl-BE"/>
        </w:rPr>
        <w:t>rijk</w:t>
      </w:r>
      <w:r w:rsidRPr="009F16AA">
        <w:rPr>
          <w:rFonts w:ascii="Times New Roman" w:hAnsi="Times New Roman"/>
          <w:color w:val="333333"/>
          <w:sz w:val="22"/>
          <w:szCs w:val="22"/>
          <w:lang w:val="nl-NL" w:eastAsia="nl-BE"/>
        </w:rPr>
        <w:t>e conclusies:</w:t>
      </w:r>
    </w:p>
    <w:p w:rsidR="00D408E3" w:rsidRPr="007D48C1" w:rsidRDefault="00D408E3" w:rsidP="007D48C1">
      <w:pPr>
        <w:rPr>
          <w:rFonts w:ascii="Times New Roman" w:hAnsi="Times New Roman"/>
          <w:b/>
          <w:color w:val="333333"/>
          <w:sz w:val="22"/>
          <w:szCs w:val="22"/>
          <w:lang w:val="nl-NL" w:eastAsia="nl-BE"/>
        </w:rPr>
      </w:pPr>
    </w:p>
    <w:p w:rsidR="00D408E3" w:rsidRPr="00452238" w:rsidRDefault="00D408E3" w:rsidP="0049590A">
      <w:pPr>
        <w:numPr>
          <w:ilvl w:val="0"/>
          <w:numId w:val="33"/>
        </w:numPr>
        <w:rPr>
          <w:i/>
          <w:lang w:val="nl-NL"/>
        </w:rPr>
      </w:pPr>
      <w:r w:rsidRPr="0049590A">
        <w:rPr>
          <w:rFonts w:ascii="Times New Roman" w:hAnsi="Times New Roman"/>
          <w:b/>
          <w:color w:val="333333"/>
          <w:sz w:val="22"/>
          <w:szCs w:val="22"/>
          <w:lang w:val="nl-NL" w:eastAsia="nl-BE"/>
        </w:rPr>
        <w:t>In 2010 bereik</w:t>
      </w:r>
      <w:r>
        <w:rPr>
          <w:rFonts w:ascii="Times New Roman" w:hAnsi="Times New Roman"/>
          <w:b/>
          <w:color w:val="333333"/>
          <w:sz w:val="22"/>
          <w:szCs w:val="22"/>
          <w:lang w:val="nl-NL" w:eastAsia="nl-BE"/>
        </w:rPr>
        <w:t>t</w:t>
      </w:r>
      <w:r w:rsidRPr="0049590A">
        <w:rPr>
          <w:rFonts w:ascii="Times New Roman" w:hAnsi="Times New Roman"/>
          <w:b/>
          <w:color w:val="333333"/>
          <w:sz w:val="22"/>
          <w:szCs w:val="22"/>
          <w:lang w:val="nl-NL" w:eastAsia="nl-BE"/>
        </w:rPr>
        <w:t xml:space="preserve"> noch omzet, noch rendement </w:t>
      </w:r>
      <w:r>
        <w:rPr>
          <w:rFonts w:ascii="Times New Roman" w:hAnsi="Times New Roman"/>
          <w:b/>
          <w:color w:val="333333"/>
          <w:sz w:val="22"/>
          <w:szCs w:val="22"/>
          <w:lang w:val="nl-NL" w:eastAsia="nl-BE"/>
        </w:rPr>
        <w:t xml:space="preserve">opnieuw </w:t>
      </w:r>
      <w:r w:rsidRPr="0049590A">
        <w:rPr>
          <w:rFonts w:ascii="Times New Roman" w:hAnsi="Times New Roman"/>
          <w:b/>
          <w:color w:val="333333"/>
          <w:sz w:val="22"/>
          <w:szCs w:val="22"/>
          <w:lang w:val="nl-NL" w:eastAsia="nl-BE"/>
        </w:rPr>
        <w:t>het niveau van voor de crisis;</w:t>
      </w:r>
      <w:r w:rsidRPr="0049590A">
        <w:rPr>
          <w:rFonts w:ascii="Times New Roman" w:hAnsi="Times New Roman"/>
          <w:b/>
          <w:i/>
          <w:color w:val="333333"/>
          <w:sz w:val="22"/>
          <w:szCs w:val="22"/>
          <w:lang w:val="nl-NL" w:eastAsia="nl-BE"/>
        </w:rPr>
        <w:t xml:space="preserve"> </w:t>
      </w:r>
      <w:r w:rsidRPr="00452238">
        <w:rPr>
          <w:rFonts w:ascii="Times New Roman" w:hAnsi="Times New Roman"/>
          <w:i/>
          <w:color w:val="333333"/>
          <w:sz w:val="22"/>
          <w:szCs w:val="22"/>
          <w:lang w:val="nl-NL" w:eastAsia="nl-BE"/>
        </w:rPr>
        <w:t xml:space="preserve">industriële </w:t>
      </w:r>
      <w:r>
        <w:rPr>
          <w:rFonts w:ascii="Times New Roman" w:hAnsi="Times New Roman"/>
          <w:i/>
          <w:color w:val="333333"/>
          <w:sz w:val="22"/>
          <w:szCs w:val="22"/>
          <w:lang w:val="nl-NL" w:eastAsia="nl-BE"/>
        </w:rPr>
        <w:t>kmo</w:t>
      </w:r>
      <w:r w:rsidRPr="00452238">
        <w:rPr>
          <w:rFonts w:ascii="Times New Roman" w:hAnsi="Times New Roman"/>
          <w:i/>
          <w:color w:val="333333"/>
          <w:sz w:val="22"/>
          <w:szCs w:val="22"/>
          <w:lang w:val="nl-NL" w:eastAsia="nl-BE"/>
        </w:rPr>
        <w:t>’s krijgen de zwaarste klappen -</w:t>
      </w:r>
      <w:r w:rsidRPr="00452238">
        <w:rPr>
          <w:i/>
          <w:lang w:val="nl-NL"/>
        </w:rPr>
        <w:t xml:space="preserve"> </w:t>
      </w:r>
      <w:r w:rsidRPr="00452238">
        <w:rPr>
          <w:rFonts w:ascii="Times New Roman" w:hAnsi="Times New Roman"/>
          <w:i/>
          <w:color w:val="333333"/>
          <w:sz w:val="22"/>
          <w:szCs w:val="22"/>
          <w:lang w:val="nl-NL" w:eastAsia="nl-BE"/>
        </w:rPr>
        <w:t xml:space="preserve">de voeding </w:t>
      </w:r>
      <w:r>
        <w:rPr>
          <w:rFonts w:ascii="Times New Roman" w:hAnsi="Times New Roman"/>
          <w:i/>
          <w:color w:val="333333"/>
          <w:sz w:val="22"/>
          <w:szCs w:val="22"/>
          <w:lang w:val="nl-NL" w:eastAsia="nl-BE"/>
        </w:rPr>
        <w:t>en</w:t>
      </w:r>
      <w:r w:rsidRPr="00452238">
        <w:rPr>
          <w:rFonts w:ascii="Times New Roman" w:hAnsi="Times New Roman"/>
          <w:i/>
          <w:color w:val="333333"/>
          <w:sz w:val="22"/>
          <w:szCs w:val="22"/>
          <w:lang w:val="nl-NL" w:eastAsia="nl-BE"/>
        </w:rPr>
        <w:t xml:space="preserve"> de landbouw </w:t>
      </w:r>
      <w:r>
        <w:rPr>
          <w:rFonts w:ascii="Times New Roman" w:hAnsi="Times New Roman"/>
          <w:i/>
          <w:color w:val="333333"/>
          <w:sz w:val="22"/>
          <w:szCs w:val="22"/>
          <w:lang w:val="nl-NL" w:eastAsia="nl-BE"/>
        </w:rPr>
        <w:t xml:space="preserve">kmo’s </w:t>
      </w:r>
      <w:r w:rsidRPr="00452238">
        <w:rPr>
          <w:rFonts w:ascii="Times New Roman" w:hAnsi="Times New Roman"/>
          <w:i/>
          <w:color w:val="333333"/>
          <w:sz w:val="22"/>
          <w:szCs w:val="22"/>
          <w:lang w:val="nl-NL" w:eastAsia="nl-BE"/>
        </w:rPr>
        <w:t>voelen de impact van de crisis op de omzet het minst</w:t>
      </w:r>
    </w:p>
    <w:p w:rsidR="00D408E3" w:rsidRPr="00AA5C82" w:rsidRDefault="00D408E3" w:rsidP="000B013B">
      <w:pPr>
        <w:numPr>
          <w:ilvl w:val="0"/>
          <w:numId w:val="33"/>
        </w:numPr>
        <w:jc w:val="both"/>
        <w:rPr>
          <w:rFonts w:ascii="Times New Roman" w:hAnsi="Times New Roman"/>
          <w:b/>
          <w:color w:val="333333"/>
          <w:sz w:val="22"/>
          <w:szCs w:val="22"/>
          <w:lang w:val="nl-NL" w:eastAsia="nl-BE"/>
        </w:rPr>
      </w:pPr>
      <w:r w:rsidRPr="00AA5C82">
        <w:rPr>
          <w:rFonts w:ascii="Times New Roman" w:hAnsi="Times New Roman"/>
          <w:b/>
          <w:color w:val="333333"/>
          <w:sz w:val="22"/>
          <w:szCs w:val="22"/>
          <w:lang w:val="nl-NL" w:eastAsia="nl-BE"/>
        </w:rPr>
        <w:t xml:space="preserve">Terugbetalingscapaciteit quasi hersteld; </w:t>
      </w:r>
      <w:bookmarkStart w:id="1" w:name="OLE_LINK11"/>
      <w:bookmarkStart w:id="2" w:name="OLE_LINK12"/>
      <w:r w:rsidRPr="00AA5C82">
        <w:rPr>
          <w:rFonts w:ascii="Times New Roman" w:hAnsi="Times New Roman"/>
          <w:i/>
          <w:color w:val="333333"/>
          <w:sz w:val="22"/>
          <w:szCs w:val="22"/>
          <w:lang w:val="nl-BE" w:eastAsia="nl-BE"/>
        </w:rPr>
        <w:t>handel en dienstensector scoren opvallend goed</w:t>
      </w:r>
      <w:r>
        <w:rPr>
          <w:rFonts w:ascii="Times New Roman" w:hAnsi="Times New Roman"/>
          <w:i/>
          <w:color w:val="333333"/>
          <w:sz w:val="22"/>
          <w:szCs w:val="22"/>
          <w:lang w:val="nl-BE" w:eastAsia="nl-BE"/>
        </w:rPr>
        <w:t xml:space="preserve">; </w:t>
      </w:r>
    </w:p>
    <w:bookmarkEnd w:id="1"/>
    <w:bookmarkEnd w:id="2"/>
    <w:p w:rsidR="00D408E3" w:rsidRPr="007D48C1" w:rsidRDefault="00D408E3" w:rsidP="000B013B">
      <w:pPr>
        <w:numPr>
          <w:ilvl w:val="0"/>
          <w:numId w:val="33"/>
        </w:numPr>
        <w:jc w:val="both"/>
        <w:rPr>
          <w:rFonts w:ascii="Times New Roman" w:hAnsi="Times New Roman"/>
          <w:b/>
          <w:color w:val="333333"/>
          <w:sz w:val="22"/>
          <w:szCs w:val="22"/>
          <w:lang w:val="nl-NL" w:eastAsia="nl-BE"/>
        </w:rPr>
      </w:pPr>
      <w:r>
        <w:rPr>
          <w:rFonts w:ascii="Times New Roman" w:hAnsi="Times New Roman"/>
          <w:b/>
          <w:color w:val="333333"/>
          <w:sz w:val="22"/>
          <w:szCs w:val="22"/>
          <w:lang w:val="nl-NL" w:eastAsia="nl-BE"/>
        </w:rPr>
        <w:t>Strikter beheer werkkapitaal;</w:t>
      </w:r>
      <w:r w:rsidRPr="00452238">
        <w:rPr>
          <w:rFonts w:ascii="Times New Roman" w:hAnsi="Times New Roman"/>
          <w:b/>
          <w:i/>
          <w:color w:val="333333"/>
          <w:sz w:val="22"/>
          <w:szCs w:val="22"/>
          <w:lang w:val="nl-NL" w:eastAsia="nl-BE"/>
        </w:rPr>
        <w:t xml:space="preserve"> </w:t>
      </w:r>
      <w:r>
        <w:rPr>
          <w:rFonts w:ascii="Times New Roman" w:hAnsi="Times New Roman"/>
          <w:i/>
          <w:color w:val="333333"/>
          <w:sz w:val="22"/>
          <w:szCs w:val="22"/>
          <w:lang w:val="nl-NL" w:eastAsia="nl-BE"/>
        </w:rPr>
        <w:t>doorsnee kmo houdt minder stocks aan en volgt klantenkrediet van nabij op;</w:t>
      </w:r>
    </w:p>
    <w:p w:rsidR="00D408E3" w:rsidRPr="00395B2C" w:rsidRDefault="00D408E3" w:rsidP="000B013B">
      <w:pPr>
        <w:numPr>
          <w:ilvl w:val="0"/>
          <w:numId w:val="33"/>
        </w:numPr>
        <w:jc w:val="both"/>
        <w:rPr>
          <w:rFonts w:ascii="Times New Roman" w:hAnsi="Times New Roman"/>
          <w:i/>
          <w:color w:val="333333"/>
          <w:sz w:val="22"/>
          <w:szCs w:val="22"/>
          <w:lang w:val="nl-NL" w:eastAsia="nl-BE"/>
        </w:rPr>
      </w:pPr>
      <w:r>
        <w:rPr>
          <w:rFonts w:ascii="Times New Roman" w:hAnsi="Times New Roman"/>
          <w:b/>
          <w:color w:val="333333"/>
          <w:sz w:val="22"/>
          <w:szCs w:val="22"/>
          <w:lang w:val="nl-NL" w:eastAsia="nl-BE"/>
        </w:rPr>
        <w:t xml:space="preserve">Investeringsbeleid - voorzichtigheid troef; </w:t>
      </w:r>
      <w:r w:rsidRPr="00395B2C">
        <w:rPr>
          <w:rFonts w:ascii="Times New Roman" w:hAnsi="Times New Roman"/>
          <w:i/>
          <w:color w:val="333333"/>
          <w:sz w:val="22"/>
          <w:szCs w:val="22"/>
          <w:lang w:val="nl-NL" w:eastAsia="nl-BE"/>
        </w:rPr>
        <w:t xml:space="preserve">grote </w:t>
      </w:r>
      <w:r>
        <w:rPr>
          <w:rFonts w:ascii="Times New Roman" w:hAnsi="Times New Roman"/>
          <w:i/>
          <w:color w:val="333333"/>
          <w:sz w:val="22"/>
          <w:szCs w:val="22"/>
          <w:lang w:val="nl-NL" w:eastAsia="nl-BE"/>
        </w:rPr>
        <w:t xml:space="preserve">familiale </w:t>
      </w:r>
      <w:r w:rsidRPr="00395B2C">
        <w:rPr>
          <w:rFonts w:ascii="Times New Roman" w:hAnsi="Times New Roman"/>
          <w:i/>
          <w:color w:val="333333"/>
          <w:sz w:val="22"/>
          <w:szCs w:val="22"/>
          <w:lang w:val="nl-NL" w:eastAsia="nl-BE"/>
        </w:rPr>
        <w:t>ondernemingen snoeien het meest in investeringsbudget</w:t>
      </w:r>
      <w:r>
        <w:rPr>
          <w:rFonts w:ascii="Times New Roman" w:hAnsi="Times New Roman"/>
          <w:i/>
          <w:color w:val="333333"/>
          <w:sz w:val="22"/>
          <w:szCs w:val="22"/>
          <w:lang w:val="nl-NL" w:eastAsia="nl-BE"/>
        </w:rPr>
        <w:t>;</w:t>
      </w:r>
    </w:p>
    <w:p w:rsidR="00D408E3" w:rsidRDefault="00D408E3" w:rsidP="000B013B">
      <w:pPr>
        <w:numPr>
          <w:ilvl w:val="0"/>
          <w:numId w:val="33"/>
        </w:numPr>
        <w:jc w:val="both"/>
        <w:rPr>
          <w:rFonts w:ascii="Times New Roman" w:hAnsi="Times New Roman"/>
          <w:b/>
          <w:color w:val="333333"/>
          <w:sz w:val="22"/>
          <w:szCs w:val="22"/>
          <w:lang w:val="nl-NL" w:eastAsia="nl-BE"/>
        </w:rPr>
      </w:pPr>
      <w:r>
        <w:rPr>
          <w:rFonts w:ascii="Times New Roman" w:hAnsi="Times New Roman"/>
          <w:b/>
          <w:color w:val="333333"/>
          <w:sz w:val="22"/>
          <w:szCs w:val="22"/>
          <w:lang w:val="nl-NL" w:eastAsia="nl-BE"/>
        </w:rPr>
        <w:t>70% van de winstgevende kmo’s reserveert alle winsten en versterken verder hun reëel eigen vermogen;</w:t>
      </w:r>
    </w:p>
    <w:p w:rsidR="00D408E3" w:rsidRPr="00E93C31" w:rsidRDefault="00D408E3" w:rsidP="000B013B">
      <w:pPr>
        <w:numPr>
          <w:ilvl w:val="0"/>
          <w:numId w:val="33"/>
        </w:numPr>
        <w:jc w:val="both"/>
        <w:rPr>
          <w:rFonts w:ascii="Times New Roman" w:hAnsi="Times New Roman"/>
          <w:i/>
          <w:color w:val="333333"/>
          <w:sz w:val="22"/>
          <w:szCs w:val="22"/>
          <w:lang w:val="nl-NL" w:eastAsia="nl-BE"/>
        </w:rPr>
      </w:pPr>
      <w:r>
        <w:rPr>
          <w:rFonts w:ascii="Times New Roman" w:hAnsi="Times New Roman"/>
          <w:b/>
          <w:color w:val="333333"/>
          <w:sz w:val="22"/>
          <w:szCs w:val="22"/>
          <w:lang w:val="nl-NL" w:eastAsia="nl-BE"/>
        </w:rPr>
        <w:t xml:space="preserve">De voorbije 3 jaar heeft 55% van de bedrijfsleiders de waarde van hun kmo zien dalen, ook al herstelt de waarde zich opvallend in 2010; </w:t>
      </w:r>
      <w:r w:rsidRPr="00E93C31">
        <w:rPr>
          <w:rFonts w:ascii="Times New Roman" w:hAnsi="Times New Roman"/>
          <w:i/>
          <w:color w:val="333333"/>
          <w:sz w:val="22"/>
          <w:szCs w:val="22"/>
          <w:lang w:val="nl-NL" w:eastAsia="nl-BE"/>
        </w:rPr>
        <w:t>waardeverlies bij industriële ondernemingen het grootst</w:t>
      </w:r>
    </w:p>
    <w:p w:rsidR="00D408E3" w:rsidRDefault="00D408E3" w:rsidP="007D48C1">
      <w:pPr>
        <w:rPr>
          <w:rFonts w:ascii="Times New Roman" w:hAnsi="Times New Roman"/>
          <w:color w:val="333333"/>
          <w:sz w:val="22"/>
          <w:szCs w:val="22"/>
          <w:lang w:val="nl-NL" w:eastAsia="nl-BE"/>
        </w:rPr>
      </w:pPr>
    </w:p>
    <w:p w:rsidR="00D408E3" w:rsidRDefault="00D408E3" w:rsidP="007D48C1">
      <w:pPr>
        <w:rPr>
          <w:rFonts w:ascii="Times New Roman" w:hAnsi="Times New Roman"/>
          <w:b/>
          <w:sz w:val="22"/>
          <w:szCs w:val="22"/>
          <w:lang w:val="nl-NL"/>
        </w:rPr>
      </w:pPr>
      <w:r w:rsidRPr="00FE4D85">
        <w:rPr>
          <w:rFonts w:ascii="Times New Roman" w:hAnsi="Times New Roman"/>
          <w:color w:val="333333"/>
          <w:sz w:val="22"/>
          <w:szCs w:val="22"/>
          <w:lang w:val="nl-NL" w:eastAsia="nl-BE"/>
        </w:rPr>
        <w:t>Deze studie is uniek omdat Deloitte</w:t>
      </w:r>
      <w:r>
        <w:rPr>
          <w:rFonts w:ascii="Times New Roman" w:hAnsi="Times New Roman"/>
          <w:color w:val="333333"/>
          <w:sz w:val="22"/>
          <w:szCs w:val="22"/>
          <w:lang w:val="nl-NL" w:eastAsia="nl-BE"/>
        </w:rPr>
        <w:t xml:space="preserve"> Fiduciaire als eerste de meest</w:t>
      </w:r>
      <w:r w:rsidRPr="00FE4D85">
        <w:rPr>
          <w:rFonts w:ascii="Times New Roman" w:hAnsi="Times New Roman"/>
          <w:color w:val="333333"/>
          <w:sz w:val="22"/>
          <w:szCs w:val="22"/>
          <w:lang w:val="nl-NL" w:eastAsia="nl-BE"/>
        </w:rPr>
        <w:t xml:space="preserve"> recente financiële gegevens - in casu deze over het boekjaar 20</w:t>
      </w:r>
      <w:r>
        <w:rPr>
          <w:rFonts w:ascii="Times New Roman" w:hAnsi="Times New Roman"/>
          <w:color w:val="333333"/>
          <w:sz w:val="22"/>
          <w:szCs w:val="22"/>
          <w:lang w:val="nl-NL" w:eastAsia="nl-BE"/>
        </w:rPr>
        <w:t xml:space="preserve">10 </w:t>
      </w:r>
      <w:r w:rsidRPr="00FE4D85">
        <w:rPr>
          <w:rFonts w:ascii="Times New Roman" w:hAnsi="Times New Roman"/>
          <w:color w:val="333333"/>
          <w:sz w:val="22"/>
          <w:szCs w:val="22"/>
          <w:lang w:val="nl-NL" w:eastAsia="nl-BE"/>
        </w:rPr>
        <w:t>– samenbrengt</w:t>
      </w:r>
      <w:r>
        <w:rPr>
          <w:rFonts w:ascii="Times New Roman" w:hAnsi="Times New Roman"/>
          <w:color w:val="333333"/>
          <w:sz w:val="22"/>
          <w:szCs w:val="22"/>
          <w:lang w:val="nl-NL" w:eastAsia="nl-BE"/>
        </w:rPr>
        <w:t xml:space="preserve"> en dit voor meer dan 2.400 ondernemingen</w:t>
      </w:r>
      <w:r w:rsidRPr="00FE4D85">
        <w:rPr>
          <w:rFonts w:ascii="Times New Roman" w:hAnsi="Times New Roman"/>
          <w:color w:val="333333"/>
          <w:sz w:val="22"/>
          <w:szCs w:val="22"/>
          <w:lang w:val="nl-NL" w:eastAsia="nl-BE"/>
        </w:rPr>
        <w:t>. De studie baseert zich bovendien niet alleen op “publieke” maar ook op “niet-publieke” gegevens, zoals omzet, rekeningen-courant en gedetailleerde exploitatiekosten.</w:t>
      </w:r>
    </w:p>
    <w:p w:rsidR="00D408E3" w:rsidRDefault="00D408E3" w:rsidP="007D48C1">
      <w:pPr>
        <w:rPr>
          <w:rFonts w:ascii="Times New Roman" w:hAnsi="Times New Roman"/>
          <w:color w:val="333333"/>
          <w:sz w:val="22"/>
          <w:szCs w:val="22"/>
          <w:lang w:val="nl-NL" w:eastAsia="nl-BE"/>
        </w:rPr>
      </w:pPr>
    </w:p>
    <w:p w:rsidR="00D408E3" w:rsidRPr="00B03E93" w:rsidRDefault="00D408E3" w:rsidP="007D48C1">
      <w:pPr>
        <w:rPr>
          <w:rFonts w:ascii="Times New Roman" w:hAnsi="Times New Roman"/>
          <w:b/>
          <w:color w:val="002060"/>
          <w:sz w:val="22"/>
          <w:szCs w:val="24"/>
          <w:lang w:val="nl-NL"/>
        </w:rPr>
      </w:pPr>
      <w:r w:rsidRPr="00B03E93">
        <w:rPr>
          <w:rFonts w:ascii="Times New Roman" w:hAnsi="Times New Roman"/>
          <w:b/>
          <w:color w:val="002060"/>
          <w:sz w:val="22"/>
          <w:szCs w:val="24"/>
          <w:lang w:val="nl-NL"/>
        </w:rPr>
        <w:t>In 2010 halen omzet en rendement nog niet helemaal het niveau van voor de crisis</w:t>
      </w:r>
    </w:p>
    <w:p w:rsidR="00D408E3" w:rsidRDefault="00D408E3" w:rsidP="007D48C1">
      <w:pPr>
        <w:rPr>
          <w:rFonts w:ascii="Times New Roman" w:hAnsi="Times New Roman"/>
          <w:color w:val="333333"/>
          <w:sz w:val="22"/>
          <w:szCs w:val="22"/>
          <w:lang w:val="nl-NL" w:eastAsia="nl-BE"/>
        </w:rPr>
      </w:pPr>
    </w:p>
    <w:p w:rsidR="00D408E3" w:rsidRDefault="00D408E3" w:rsidP="007D48C1">
      <w:pPr>
        <w:rPr>
          <w:rFonts w:ascii="Times New Roman" w:hAnsi="Times New Roman"/>
          <w:i/>
          <w:sz w:val="22"/>
          <w:szCs w:val="22"/>
          <w:lang w:val="nl-NL" w:eastAsia="en-US"/>
        </w:rPr>
      </w:pPr>
      <w:r>
        <w:rPr>
          <w:rFonts w:ascii="Times New Roman" w:hAnsi="Times New Roman"/>
          <w:sz w:val="22"/>
          <w:szCs w:val="22"/>
          <w:lang w:val="nl-NL" w:eastAsia="en-US"/>
        </w:rPr>
        <w:t>De voorbije drie jaar heeft slechts 41% van de kmo’s een reële omzetgroei – waarbij de groei de inflatie overtreft – kunnen realiseren. De industriële ondernemingen hebben de zwaarste klappen gekregen. Nikolaas Tahon,</w:t>
      </w:r>
      <w:r w:rsidRPr="00375619">
        <w:rPr>
          <w:rFonts w:ascii="Times New Roman" w:hAnsi="Times New Roman"/>
          <w:color w:val="333333"/>
          <w:sz w:val="22"/>
          <w:szCs w:val="22"/>
          <w:lang w:val="nl-NL" w:eastAsia="nl-BE"/>
        </w:rPr>
        <w:t xml:space="preserve"> </w:t>
      </w:r>
      <w:r>
        <w:rPr>
          <w:rFonts w:ascii="Times New Roman" w:hAnsi="Times New Roman"/>
          <w:color w:val="333333"/>
          <w:sz w:val="22"/>
          <w:szCs w:val="22"/>
          <w:lang w:val="nl-NL" w:eastAsia="nl-BE"/>
        </w:rPr>
        <w:t>Managing Partner van Deloitte Fiduciaire,</w:t>
      </w:r>
      <w:r>
        <w:rPr>
          <w:rFonts w:ascii="Times New Roman" w:hAnsi="Times New Roman"/>
          <w:sz w:val="22"/>
          <w:szCs w:val="22"/>
          <w:lang w:val="nl-NL" w:eastAsia="en-US"/>
        </w:rPr>
        <w:t xml:space="preserve"> preciseert: </w:t>
      </w:r>
      <w:r w:rsidRPr="007B22B8">
        <w:rPr>
          <w:rFonts w:ascii="Times New Roman" w:hAnsi="Times New Roman"/>
          <w:i/>
          <w:sz w:val="22"/>
          <w:szCs w:val="22"/>
          <w:lang w:val="nl-NL" w:eastAsia="en-US"/>
        </w:rPr>
        <w:t xml:space="preserve">“Maar liefst 62% van de industriële bedrijven </w:t>
      </w:r>
      <w:r>
        <w:rPr>
          <w:rFonts w:ascii="Times New Roman" w:hAnsi="Times New Roman"/>
          <w:i/>
          <w:sz w:val="22"/>
          <w:szCs w:val="22"/>
          <w:lang w:val="nl-NL" w:eastAsia="en-US"/>
        </w:rPr>
        <w:t>werd</w:t>
      </w:r>
      <w:r w:rsidRPr="007B22B8">
        <w:rPr>
          <w:rFonts w:ascii="Times New Roman" w:hAnsi="Times New Roman"/>
          <w:i/>
          <w:sz w:val="22"/>
          <w:szCs w:val="22"/>
          <w:lang w:val="nl-NL" w:eastAsia="en-US"/>
        </w:rPr>
        <w:t xml:space="preserve"> geconfronteerd met een omzetdaling. De he</w:t>
      </w:r>
      <w:r>
        <w:rPr>
          <w:rFonts w:ascii="Times New Roman" w:hAnsi="Times New Roman"/>
          <w:i/>
          <w:sz w:val="22"/>
          <w:szCs w:val="22"/>
          <w:lang w:val="nl-NL" w:eastAsia="en-US"/>
        </w:rPr>
        <w:t>lft van de ondernemingen noteerde</w:t>
      </w:r>
      <w:r w:rsidRPr="007B22B8">
        <w:rPr>
          <w:rFonts w:ascii="Times New Roman" w:hAnsi="Times New Roman"/>
          <w:i/>
          <w:sz w:val="22"/>
          <w:szCs w:val="22"/>
          <w:lang w:val="nl-NL" w:eastAsia="en-US"/>
        </w:rPr>
        <w:t xml:space="preserve"> een omzetdaling van minstens 8%. Een kwart van </w:t>
      </w:r>
      <w:r>
        <w:rPr>
          <w:rFonts w:ascii="Times New Roman" w:hAnsi="Times New Roman"/>
          <w:i/>
          <w:sz w:val="22"/>
          <w:szCs w:val="22"/>
          <w:lang w:val="nl-NL" w:eastAsia="en-US"/>
        </w:rPr>
        <w:t xml:space="preserve">de </w:t>
      </w:r>
      <w:r w:rsidRPr="007B22B8">
        <w:rPr>
          <w:rFonts w:ascii="Times New Roman" w:hAnsi="Times New Roman"/>
          <w:i/>
          <w:sz w:val="22"/>
          <w:szCs w:val="22"/>
          <w:lang w:val="nl-NL" w:eastAsia="en-US"/>
        </w:rPr>
        <w:t>industriële bedrijven zag de omzet zelfs met 26% of meer krimpen.”</w:t>
      </w:r>
    </w:p>
    <w:p w:rsidR="00D408E3" w:rsidRDefault="00D408E3" w:rsidP="007D48C1">
      <w:pPr>
        <w:rPr>
          <w:rFonts w:ascii="Times New Roman" w:hAnsi="Times New Roman"/>
          <w:sz w:val="22"/>
          <w:szCs w:val="22"/>
          <w:lang w:val="nl-NL" w:eastAsia="en-US"/>
        </w:rPr>
      </w:pPr>
    </w:p>
    <w:p w:rsidR="00D408E3" w:rsidRDefault="00D408E3" w:rsidP="007B22B8">
      <w:pPr>
        <w:rPr>
          <w:rFonts w:ascii="Times New Roman" w:hAnsi="Times New Roman"/>
          <w:sz w:val="22"/>
          <w:szCs w:val="22"/>
          <w:lang w:val="nl-NL" w:eastAsia="en-US"/>
        </w:rPr>
      </w:pPr>
      <w:r w:rsidRPr="007B22B8">
        <w:rPr>
          <w:rFonts w:ascii="Times New Roman" w:hAnsi="Times New Roman"/>
          <w:sz w:val="22"/>
          <w:szCs w:val="22"/>
          <w:lang w:val="nl-NL" w:eastAsia="en-US"/>
        </w:rPr>
        <w:t>Na 2 zwakke jaren, zijn in 2010 zowel het operatione</w:t>
      </w:r>
      <w:r>
        <w:rPr>
          <w:rFonts w:ascii="Times New Roman" w:hAnsi="Times New Roman"/>
          <w:sz w:val="22"/>
          <w:szCs w:val="22"/>
          <w:lang w:val="nl-NL" w:eastAsia="en-US"/>
        </w:rPr>
        <w:t>le</w:t>
      </w:r>
      <w:r w:rsidRPr="007B22B8">
        <w:rPr>
          <w:rFonts w:ascii="Times New Roman" w:hAnsi="Times New Roman"/>
          <w:sz w:val="22"/>
          <w:szCs w:val="22"/>
          <w:lang w:val="nl-NL" w:eastAsia="en-US"/>
        </w:rPr>
        <w:t xml:space="preserve"> rendement (EBITDA/omze</w:t>
      </w:r>
      <w:r>
        <w:rPr>
          <w:rFonts w:ascii="Times New Roman" w:hAnsi="Times New Roman"/>
          <w:sz w:val="22"/>
          <w:szCs w:val="22"/>
          <w:lang w:val="nl-NL" w:eastAsia="en-US"/>
        </w:rPr>
        <w:t xml:space="preserve">t), als het financiële </w:t>
      </w:r>
      <w:r w:rsidRPr="007B22B8">
        <w:rPr>
          <w:rFonts w:ascii="Times New Roman" w:hAnsi="Times New Roman"/>
          <w:sz w:val="22"/>
          <w:szCs w:val="22"/>
          <w:lang w:val="nl-NL" w:eastAsia="en-US"/>
        </w:rPr>
        <w:t>nettorendement en de return on capital employed (ROCE) fors gestegen. De doorsnee</w:t>
      </w:r>
      <w:r>
        <w:rPr>
          <w:rFonts w:ascii="Times New Roman" w:hAnsi="Times New Roman"/>
          <w:sz w:val="22"/>
          <w:szCs w:val="22"/>
          <w:lang w:val="nl-NL" w:eastAsia="en-US"/>
        </w:rPr>
        <w:t>-kmo</w:t>
      </w:r>
      <w:r w:rsidRPr="007B22B8">
        <w:rPr>
          <w:rFonts w:ascii="Times New Roman" w:hAnsi="Times New Roman"/>
          <w:sz w:val="22"/>
          <w:szCs w:val="22"/>
          <w:lang w:val="nl-NL" w:eastAsia="en-US"/>
        </w:rPr>
        <w:t xml:space="preserve"> wist echter nog niet de superrendementen - zoals behaald in 2007- opnieuw te evenaren. In 2010 is </w:t>
      </w:r>
      <w:r>
        <w:rPr>
          <w:rFonts w:ascii="Times New Roman" w:hAnsi="Times New Roman"/>
          <w:sz w:val="22"/>
          <w:szCs w:val="22"/>
          <w:lang w:val="nl-NL" w:eastAsia="en-US"/>
        </w:rPr>
        <w:t xml:space="preserve">bovendien </w:t>
      </w:r>
      <w:r w:rsidRPr="007B22B8">
        <w:rPr>
          <w:rFonts w:ascii="Times New Roman" w:hAnsi="Times New Roman"/>
          <w:sz w:val="22"/>
          <w:szCs w:val="22"/>
          <w:lang w:val="nl-NL" w:eastAsia="en-US"/>
        </w:rPr>
        <w:t xml:space="preserve">voor het eerst in 3 jaar het aantal ondernemingen met een negatief rendement </w:t>
      </w:r>
      <w:r>
        <w:rPr>
          <w:rFonts w:ascii="Times New Roman" w:hAnsi="Times New Roman"/>
          <w:sz w:val="22"/>
          <w:szCs w:val="22"/>
          <w:lang w:val="nl-NL" w:eastAsia="en-US"/>
        </w:rPr>
        <w:t>opnieuw</w:t>
      </w:r>
      <w:r w:rsidRPr="007B22B8">
        <w:rPr>
          <w:rFonts w:ascii="Times New Roman" w:hAnsi="Times New Roman"/>
          <w:sz w:val="22"/>
          <w:szCs w:val="22"/>
          <w:lang w:val="nl-NL" w:eastAsia="en-US"/>
        </w:rPr>
        <w:t xml:space="preserve"> gedaald. </w:t>
      </w:r>
    </w:p>
    <w:p w:rsidR="00D408E3" w:rsidRPr="007B22B8" w:rsidRDefault="00D408E3" w:rsidP="007B22B8">
      <w:pPr>
        <w:rPr>
          <w:rFonts w:ascii="Times New Roman" w:hAnsi="Times New Roman"/>
          <w:sz w:val="22"/>
          <w:szCs w:val="22"/>
          <w:lang w:val="nl-NL" w:eastAsia="en-US"/>
        </w:rPr>
      </w:pPr>
    </w:p>
    <w:tbl>
      <w:tblPr>
        <w:tblW w:w="0" w:type="auto"/>
        <w:tblInd w:w="108" w:type="dxa"/>
        <w:tblLook w:val="00A0"/>
      </w:tblPr>
      <w:tblGrid>
        <w:gridCol w:w="3686"/>
        <w:gridCol w:w="1275"/>
        <w:gridCol w:w="1276"/>
        <w:gridCol w:w="1276"/>
        <w:gridCol w:w="1276"/>
      </w:tblGrid>
      <w:tr w:rsidR="00D408E3" w:rsidRPr="007471FC" w:rsidTr="007471FC">
        <w:tc>
          <w:tcPr>
            <w:tcW w:w="3686" w:type="dxa"/>
            <w:shd w:val="clear" w:color="auto" w:fill="00B0F0"/>
          </w:tcPr>
          <w:p w:rsidR="00D408E3" w:rsidRPr="007471FC" w:rsidRDefault="00D408E3" w:rsidP="007D48C1">
            <w:pPr>
              <w:rPr>
                <w:rFonts w:ascii="Times New Roman" w:hAnsi="Times New Roman"/>
                <w:color w:val="FFFFFF"/>
                <w:sz w:val="22"/>
                <w:szCs w:val="22"/>
                <w:lang w:val="nl-NL" w:eastAsia="en-US"/>
              </w:rPr>
            </w:pPr>
            <w:r w:rsidRPr="007471FC">
              <w:rPr>
                <w:rFonts w:ascii="Times New Roman" w:hAnsi="Times New Roman"/>
                <w:color w:val="FFFFFF"/>
                <w:sz w:val="22"/>
                <w:szCs w:val="22"/>
                <w:lang w:val="nl-NL" w:eastAsia="en-US"/>
              </w:rPr>
              <w:t>% kmo</w:t>
            </w:r>
          </w:p>
        </w:tc>
        <w:tc>
          <w:tcPr>
            <w:tcW w:w="1275" w:type="dxa"/>
            <w:shd w:val="clear" w:color="auto" w:fill="00B0F0"/>
          </w:tcPr>
          <w:p w:rsidR="00D408E3" w:rsidRPr="007471FC" w:rsidRDefault="00D408E3" w:rsidP="007471FC">
            <w:pPr>
              <w:jc w:val="center"/>
              <w:rPr>
                <w:rFonts w:ascii="Times New Roman" w:hAnsi="Times New Roman"/>
                <w:color w:val="FFFFFF"/>
                <w:sz w:val="22"/>
                <w:szCs w:val="22"/>
                <w:lang w:val="nl-NL" w:eastAsia="en-US"/>
              </w:rPr>
            </w:pPr>
            <w:r w:rsidRPr="007471FC">
              <w:rPr>
                <w:rFonts w:ascii="Times New Roman" w:hAnsi="Times New Roman"/>
                <w:color w:val="FFFFFF"/>
                <w:sz w:val="22"/>
                <w:szCs w:val="22"/>
                <w:lang w:val="nl-NL" w:eastAsia="en-US"/>
              </w:rPr>
              <w:t>2007</w:t>
            </w:r>
          </w:p>
        </w:tc>
        <w:tc>
          <w:tcPr>
            <w:tcW w:w="1276" w:type="dxa"/>
            <w:shd w:val="clear" w:color="auto" w:fill="00B0F0"/>
          </w:tcPr>
          <w:p w:rsidR="00D408E3" w:rsidRPr="007471FC" w:rsidRDefault="00D408E3" w:rsidP="007471FC">
            <w:pPr>
              <w:jc w:val="center"/>
              <w:rPr>
                <w:rFonts w:ascii="Times New Roman" w:hAnsi="Times New Roman"/>
                <w:color w:val="FFFFFF"/>
                <w:sz w:val="22"/>
                <w:szCs w:val="22"/>
                <w:lang w:val="nl-NL" w:eastAsia="en-US"/>
              </w:rPr>
            </w:pPr>
            <w:r w:rsidRPr="007471FC">
              <w:rPr>
                <w:rFonts w:ascii="Times New Roman" w:hAnsi="Times New Roman"/>
                <w:color w:val="FFFFFF"/>
                <w:sz w:val="22"/>
                <w:szCs w:val="22"/>
                <w:lang w:val="nl-NL" w:eastAsia="en-US"/>
              </w:rPr>
              <w:t>2008</w:t>
            </w:r>
          </w:p>
        </w:tc>
        <w:tc>
          <w:tcPr>
            <w:tcW w:w="1276" w:type="dxa"/>
            <w:shd w:val="clear" w:color="auto" w:fill="00B0F0"/>
          </w:tcPr>
          <w:p w:rsidR="00D408E3" w:rsidRPr="007471FC" w:rsidRDefault="00D408E3" w:rsidP="007471FC">
            <w:pPr>
              <w:jc w:val="center"/>
              <w:rPr>
                <w:rFonts w:ascii="Times New Roman" w:hAnsi="Times New Roman"/>
                <w:color w:val="FFFFFF"/>
                <w:sz w:val="22"/>
                <w:szCs w:val="22"/>
                <w:lang w:val="nl-NL" w:eastAsia="en-US"/>
              </w:rPr>
            </w:pPr>
            <w:r w:rsidRPr="007471FC">
              <w:rPr>
                <w:rFonts w:ascii="Times New Roman" w:hAnsi="Times New Roman"/>
                <w:color w:val="FFFFFF"/>
                <w:sz w:val="22"/>
                <w:szCs w:val="22"/>
                <w:lang w:val="nl-NL" w:eastAsia="en-US"/>
              </w:rPr>
              <w:t>2009</w:t>
            </w:r>
          </w:p>
        </w:tc>
        <w:tc>
          <w:tcPr>
            <w:tcW w:w="1276" w:type="dxa"/>
            <w:shd w:val="clear" w:color="auto" w:fill="00B0F0"/>
          </w:tcPr>
          <w:p w:rsidR="00D408E3" w:rsidRPr="007471FC" w:rsidRDefault="00D408E3" w:rsidP="007471FC">
            <w:pPr>
              <w:jc w:val="center"/>
              <w:rPr>
                <w:rFonts w:ascii="Times New Roman" w:hAnsi="Times New Roman"/>
                <w:color w:val="FFFFFF"/>
                <w:sz w:val="22"/>
                <w:szCs w:val="22"/>
                <w:lang w:val="nl-NL" w:eastAsia="en-US"/>
              </w:rPr>
            </w:pPr>
            <w:r w:rsidRPr="007471FC">
              <w:rPr>
                <w:rFonts w:ascii="Times New Roman" w:hAnsi="Times New Roman"/>
                <w:color w:val="FFFFFF"/>
                <w:sz w:val="22"/>
                <w:szCs w:val="22"/>
                <w:lang w:val="nl-NL" w:eastAsia="en-US"/>
              </w:rPr>
              <w:t>2010</w:t>
            </w:r>
          </w:p>
        </w:tc>
      </w:tr>
      <w:tr w:rsidR="00D408E3" w:rsidRPr="007471FC" w:rsidTr="007471FC">
        <w:tc>
          <w:tcPr>
            <w:tcW w:w="3686" w:type="dxa"/>
            <w:tcBorders>
              <w:bottom w:val="single" w:sz="4" w:space="0" w:color="00B0F0"/>
            </w:tcBorders>
          </w:tcPr>
          <w:p w:rsidR="00D408E3" w:rsidRPr="007471FC" w:rsidRDefault="00D408E3" w:rsidP="007D48C1">
            <w:pP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EBITDA/omzet &lt;  0%</w:t>
            </w:r>
          </w:p>
        </w:tc>
        <w:tc>
          <w:tcPr>
            <w:tcW w:w="1275" w:type="dxa"/>
            <w:tcBorders>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10,3%</w:t>
            </w:r>
          </w:p>
        </w:tc>
        <w:tc>
          <w:tcPr>
            <w:tcW w:w="1276" w:type="dxa"/>
            <w:tcBorders>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11,4%</w:t>
            </w:r>
          </w:p>
        </w:tc>
        <w:tc>
          <w:tcPr>
            <w:tcW w:w="1276" w:type="dxa"/>
            <w:tcBorders>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14,0%</w:t>
            </w:r>
          </w:p>
        </w:tc>
        <w:tc>
          <w:tcPr>
            <w:tcW w:w="1276" w:type="dxa"/>
            <w:tcBorders>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10,4%</w:t>
            </w:r>
          </w:p>
        </w:tc>
      </w:tr>
      <w:tr w:rsidR="00D408E3" w:rsidRPr="007471FC" w:rsidTr="007471FC">
        <w:tc>
          <w:tcPr>
            <w:tcW w:w="3686" w:type="dxa"/>
            <w:tcBorders>
              <w:top w:val="single" w:sz="4" w:space="0" w:color="00B0F0"/>
              <w:bottom w:val="single" w:sz="4" w:space="0" w:color="00B0F0"/>
            </w:tcBorders>
          </w:tcPr>
          <w:p w:rsidR="00D408E3" w:rsidRPr="007471FC" w:rsidRDefault="00D408E3" w:rsidP="005474CD">
            <w:pPr>
              <w:rPr>
                <w:rFonts w:ascii="Times New Roman" w:hAnsi="Times New Roman"/>
                <w:color w:val="002060"/>
                <w:sz w:val="22"/>
                <w:szCs w:val="22"/>
                <w:lang w:val="nl-NL" w:eastAsia="en-US"/>
              </w:rPr>
            </w:pPr>
            <w:r>
              <w:rPr>
                <w:rFonts w:ascii="Times New Roman" w:hAnsi="Times New Roman"/>
                <w:color w:val="002060"/>
                <w:sz w:val="22"/>
                <w:szCs w:val="22"/>
                <w:lang w:val="nl-NL" w:eastAsia="en-US"/>
              </w:rPr>
              <w:t>Financiële</w:t>
            </w:r>
            <w:r w:rsidRPr="007471FC">
              <w:rPr>
                <w:rFonts w:ascii="Times New Roman" w:hAnsi="Times New Roman"/>
                <w:color w:val="002060"/>
                <w:sz w:val="22"/>
                <w:szCs w:val="22"/>
                <w:lang w:val="nl-NL" w:eastAsia="en-US"/>
              </w:rPr>
              <w:t xml:space="preserve"> nettorendement &lt; 0%</w:t>
            </w:r>
          </w:p>
        </w:tc>
        <w:tc>
          <w:tcPr>
            <w:tcW w:w="1275"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20,2%</w:t>
            </w:r>
          </w:p>
        </w:tc>
        <w:tc>
          <w:tcPr>
            <w:tcW w:w="1276"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22,1%</w:t>
            </w:r>
          </w:p>
        </w:tc>
        <w:tc>
          <w:tcPr>
            <w:tcW w:w="1276"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26,2%</w:t>
            </w:r>
          </w:p>
        </w:tc>
        <w:tc>
          <w:tcPr>
            <w:tcW w:w="1276"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20,9%</w:t>
            </w:r>
          </w:p>
        </w:tc>
      </w:tr>
      <w:tr w:rsidR="00D408E3" w:rsidRPr="007471FC" w:rsidTr="007471FC">
        <w:tc>
          <w:tcPr>
            <w:tcW w:w="3686" w:type="dxa"/>
            <w:tcBorders>
              <w:top w:val="single" w:sz="4" w:space="0" w:color="00B0F0"/>
              <w:bottom w:val="single" w:sz="4" w:space="0" w:color="00B0F0"/>
            </w:tcBorders>
          </w:tcPr>
          <w:p w:rsidR="00D408E3" w:rsidRPr="007471FC" w:rsidRDefault="00D408E3" w:rsidP="007D48C1">
            <w:pP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Return on capital employed &lt; 0%</w:t>
            </w:r>
          </w:p>
        </w:tc>
        <w:tc>
          <w:tcPr>
            <w:tcW w:w="1275"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23,2%</w:t>
            </w:r>
          </w:p>
        </w:tc>
        <w:tc>
          <w:tcPr>
            <w:tcW w:w="1276"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24,5%</w:t>
            </w:r>
          </w:p>
        </w:tc>
        <w:tc>
          <w:tcPr>
            <w:tcW w:w="1276"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28,4%</w:t>
            </w:r>
          </w:p>
        </w:tc>
        <w:tc>
          <w:tcPr>
            <w:tcW w:w="1276" w:type="dxa"/>
            <w:tcBorders>
              <w:top w:val="single" w:sz="4" w:space="0" w:color="00B0F0"/>
              <w:bottom w:val="single" w:sz="4" w:space="0" w:color="00B0F0"/>
            </w:tcBorders>
          </w:tcPr>
          <w:p w:rsidR="00D408E3" w:rsidRPr="007471FC" w:rsidRDefault="00D408E3" w:rsidP="007471FC">
            <w:pPr>
              <w:jc w:val="center"/>
              <w:rPr>
                <w:rFonts w:ascii="Times New Roman" w:hAnsi="Times New Roman"/>
                <w:color w:val="002060"/>
                <w:sz w:val="22"/>
                <w:szCs w:val="22"/>
                <w:lang w:val="nl-NL" w:eastAsia="en-US"/>
              </w:rPr>
            </w:pPr>
            <w:r w:rsidRPr="007471FC">
              <w:rPr>
                <w:rFonts w:ascii="Times New Roman" w:hAnsi="Times New Roman"/>
                <w:color w:val="002060"/>
                <w:sz w:val="22"/>
                <w:szCs w:val="22"/>
                <w:lang w:val="nl-NL" w:eastAsia="en-US"/>
              </w:rPr>
              <w:t>24,2%</w:t>
            </w:r>
          </w:p>
        </w:tc>
      </w:tr>
    </w:tbl>
    <w:p w:rsidR="00D408E3" w:rsidRDefault="00D408E3" w:rsidP="007D48C1">
      <w:pPr>
        <w:rPr>
          <w:rFonts w:ascii="Times New Roman" w:hAnsi="Times New Roman"/>
          <w:sz w:val="22"/>
          <w:szCs w:val="22"/>
          <w:lang w:val="nl-NL" w:eastAsia="en-US"/>
        </w:rPr>
      </w:pPr>
    </w:p>
    <w:p w:rsidR="00D408E3" w:rsidRDefault="00D408E3" w:rsidP="00E96354">
      <w:pPr>
        <w:rPr>
          <w:rFonts w:ascii="Times New Roman" w:hAnsi="Times New Roman"/>
          <w:sz w:val="22"/>
          <w:szCs w:val="22"/>
          <w:lang w:val="nl-NL" w:eastAsia="en-US"/>
        </w:rPr>
      </w:pPr>
      <w:r w:rsidRPr="00E96354">
        <w:rPr>
          <w:rFonts w:ascii="Times New Roman" w:hAnsi="Times New Roman"/>
          <w:sz w:val="22"/>
          <w:szCs w:val="22"/>
          <w:lang w:val="nl-NL" w:eastAsia="en-US"/>
        </w:rPr>
        <w:t>In 2009 zag de doorsnee</w:t>
      </w:r>
      <w:r>
        <w:rPr>
          <w:rFonts w:ascii="Times New Roman" w:hAnsi="Times New Roman"/>
          <w:sz w:val="22"/>
          <w:szCs w:val="22"/>
          <w:lang w:val="nl-NL" w:eastAsia="en-US"/>
        </w:rPr>
        <w:t>-</w:t>
      </w:r>
      <w:r w:rsidRPr="00E96354">
        <w:rPr>
          <w:rFonts w:ascii="Times New Roman" w:hAnsi="Times New Roman"/>
          <w:sz w:val="22"/>
          <w:szCs w:val="22"/>
          <w:lang w:val="nl-NL" w:eastAsia="en-US"/>
        </w:rPr>
        <w:t>exploitatievennootschap nog de EBITDA op omzet wegzakken tot 7</w:t>
      </w:r>
      <w:r>
        <w:rPr>
          <w:rFonts w:ascii="Times New Roman" w:hAnsi="Times New Roman"/>
          <w:sz w:val="22"/>
          <w:szCs w:val="22"/>
          <w:lang w:val="nl-NL" w:eastAsia="en-US"/>
        </w:rPr>
        <w:t>,</w:t>
      </w:r>
      <w:r w:rsidRPr="00E96354">
        <w:rPr>
          <w:rFonts w:ascii="Times New Roman" w:hAnsi="Times New Roman"/>
          <w:sz w:val="22"/>
          <w:szCs w:val="22"/>
          <w:lang w:val="nl-NL" w:eastAsia="en-US"/>
        </w:rPr>
        <w:t>7%. In 2010 wist de doorsnee</w:t>
      </w:r>
      <w:r>
        <w:rPr>
          <w:rFonts w:ascii="Times New Roman" w:hAnsi="Times New Roman"/>
          <w:sz w:val="22"/>
          <w:szCs w:val="22"/>
          <w:lang w:val="nl-NL" w:eastAsia="en-US"/>
        </w:rPr>
        <w:t>-kmo</w:t>
      </w:r>
      <w:r w:rsidRPr="00E96354">
        <w:rPr>
          <w:rFonts w:ascii="Times New Roman" w:hAnsi="Times New Roman"/>
          <w:sz w:val="22"/>
          <w:szCs w:val="22"/>
          <w:lang w:val="nl-NL" w:eastAsia="en-US"/>
        </w:rPr>
        <w:t xml:space="preserve"> daarentegen een operationeel rendement van 8,5% te realiseren. Deze trend stellen we vast binnen alle sectoren, met uitzondering van de dienstensector en de houtsector waar de EBITDA op omzet het voorbije jaar nog verder weggezakt is.</w:t>
      </w:r>
    </w:p>
    <w:p w:rsidR="00D408E3" w:rsidRDefault="00D408E3" w:rsidP="00E96354">
      <w:pPr>
        <w:rPr>
          <w:rFonts w:ascii="Times New Roman" w:hAnsi="Times New Roman"/>
          <w:sz w:val="22"/>
          <w:szCs w:val="22"/>
          <w:lang w:val="nl-NL" w:eastAsia="en-US"/>
        </w:rPr>
      </w:pPr>
    </w:p>
    <w:p w:rsidR="00D408E3" w:rsidRDefault="00D408E3" w:rsidP="00E96354">
      <w:pPr>
        <w:rPr>
          <w:rFonts w:ascii="Times New Roman" w:hAnsi="Times New Roman"/>
          <w:sz w:val="22"/>
          <w:szCs w:val="22"/>
          <w:lang w:val="nl-NL" w:eastAsia="en-US"/>
        </w:rPr>
      </w:pPr>
      <w:r>
        <w:rPr>
          <w:rFonts w:ascii="Times New Roman" w:hAnsi="Times New Roman"/>
          <w:sz w:val="22"/>
          <w:szCs w:val="22"/>
          <w:lang w:val="nl-NL" w:eastAsia="en-US"/>
        </w:rPr>
        <w:t>Het voorbije jaar zag de doorsnee kmo trouwens ook het financiële nettorendement stijgen tot 8%. De recordcijfers van in 2006 en 2007 zijn hiermee echter nog lang niet geëvenaard.</w:t>
      </w:r>
    </w:p>
    <w:p w:rsidR="00D408E3" w:rsidRDefault="00D408E3" w:rsidP="00E96354">
      <w:pPr>
        <w:rPr>
          <w:rFonts w:ascii="Times New Roman" w:hAnsi="Times New Roman"/>
          <w:sz w:val="22"/>
          <w:szCs w:val="22"/>
          <w:lang w:val="nl-NL" w:eastAsia="en-US"/>
        </w:rPr>
      </w:pPr>
    </w:p>
    <w:p w:rsidR="00D408E3" w:rsidRDefault="00D408E3" w:rsidP="00E96354">
      <w:pPr>
        <w:rPr>
          <w:rFonts w:ascii="Times New Roman" w:hAnsi="Times New Roman"/>
          <w:color w:val="333333"/>
          <w:sz w:val="22"/>
          <w:szCs w:val="22"/>
          <w:lang w:val="nl-NL" w:eastAsia="nl-BE"/>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margin-left:147pt;margin-top:7in;width:302.25pt;height:172.5pt;z-index:251658240;visibility:visible;mso-position-vertical-relative:top-margin-area">
            <v:imagedata r:id="rId8" o:title=""/>
            <w10:wrap type="square" side="left" anchory="margin"/>
          </v:shape>
        </w:pict>
      </w:r>
      <w:r w:rsidRPr="00FE4D85">
        <w:rPr>
          <w:rFonts w:ascii="Times New Roman" w:hAnsi="Times New Roman"/>
          <w:color w:val="333333"/>
          <w:sz w:val="22"/>
          <w:szCs w:val="22"/>
          <w:lang w:val="nl-NL" w:eastAsia="nl-BE"/>
        </w:rPr>
        <w:t xml:space="preserve">De return on capital employed, afgekort “ROCE”, geeft de winstgevendheid voor de aandeelhouders en andere geldverschaffers (banken en leasingmaatschappijen) weer. Eind </w:t>
      </w:r>
      <w:r>
        <w:rPr>
          <w:rFonts w:ascii="Times New Roman" w:hAnsi="Times New Roman"/>
          <w:color w:val="333333"/>
          <w:sz w:val="22"/>
          <w:szCs w:val="22"/>
          <w:lang w:val="nl-NL" w:eastAsia="nl-BE"/>
        </w:rPr>
        <w:t>2009</w:t>
      </w:r>
      <w:r w:rsidRPr="00FE4D85">
        <w:rPr>
          <w:rFonts w:ascii="Times New Roman" w:hAnsi="Times New Roman"/>
          <w:color w:val="333333"/>
          <w:sz w:val="22"/>
          <w:szCs w:val="22"/>
          <w:lang w:val="nl-NL" w:eastAsia="nl-BE"/>
        </w:rPr>
        <w:t xml:space="preserve"> leverde elke 100 EUR</w:t>
      </w:r>
      <w:r>
        <w:rPr>
          <w:rFonts w:ascii="Times New Roman" w:hAnsi="Times New Roman"/>
          <w:color w:val="333333"/>
          <w:sz w:val="22"/>
          <w:szCs w:val="22"/>
          <w:lang w:val="nl-NL" w:eastAsia="nl-BE"/>
        </w:rPr>
        <w:t xml:space="preserve"> die</w:t>
      </w:r>
      <w:r w:rsidRPr="00FE4D85">
        <w:rPr>
          <w:rFonts w:ascii="Times New Roman" w:hAnsi="Times New Roman"/>
          <w:color w:val="333333"/>
          <w:sz w:val="22"/>
          <w:szCs w:val="22"/>
          <w:lang w:val="nl-NL" w:eastAsia="nl-BE"/>
        </w:rPr>
        <w:t xml:space="preserve"> geïnvesteerd</w:t>
      </w:r>
      <w:r>
        <w:rPr>
          <w:rFonts w:ascii="Times New Roman" w:hAnsi="Times New Roman"/>
          <w:color w:val="333333"/>
          <w:sz w:val="22"/>
          <w:szCs w:val="22"/>
          <w:lang w:val="nl-NL" w:eastAsia="nl-BE"/>
        </w:rPr>
        <w:t xml:space="preserve"> werd</w:t>
      </w:r>
      <w:r w:rsidRPr="00FE4D85">
        <w:rPr>
          <w:rFonts w:ascii="Times New Roman" w:hAnsi="Times New Roman"/>
          <w:color w:val="333333"/>
          <w:sz w:val="22"/>
          <w:szCs w:val="22"/>
          <w:lang w:val="nl-NL" w:eastAsia="nl-BE"/>
        </w:rPr>
        <w:t xml:space="preserve"> in de doorsnee </w:t>
      </w:r>
      <w:r>
        <w:rPr>
          <w:rFonts w:ascii="Times New Roman" w:hAnsi="Times New Roman"/>
          <w:color w:val="333333"/>
          <w:sz w:val="22"/>
          <w:szCs w:val="22"/>
          <w:lang w:val="nl-NL" w:eastAsia="nl-BE"/>
        </w:rPr>
        <w:t>kmo</w:t>
      </w:r>
      <w:r w:rsidRPr="00FE4D85">
        <w:rPr>
          <w:rFonts w:ascii="Times New Roman" w:hAnsi="Times New Roman"/>
          <w:color w:val="333333"/>
          <w:sz w:val="22"/>
          <w:szCs w:val="22"/>
          <w:lang w:val="nl-NL" w:eastAsia="nl-BE"/>
        </w:rPr>
        <w:t xml:space="preserve"> </w:t>
      </w:r>
      <w:r>
        <w:rPr>
          <w:rFonts w:ascii="Times New Roman" w:hAnsi="Times New Roman"/>
          <w:color w:val="333333"/>
          <w:sz w:val="22"/>
          <w:szCs w:val="22"/>
          <w:lang w:val="nl-NL" w:eastAsia="nl-BE"/>
        </w:rPr>
        <w:t xml:space="preserve">slechts </w:t>
      </w:r>
      <w:r w:rsidRPr="00FE4D85">
        <w:rPr>
          <w:rFonts w:ascii="Times New Roman" w:hAnsi="Times New Roman"/>
          <w:color w:val="333333"/>
          <w:sz w:val="22"/>
          <w:szCs w:val="22"/>
          <w:lang w:val="nl-NL" w:eastAsia="nl-BE"/>
        </w:rPr>
        <w:t xml:space="preserve">een brutorendement van </w:t>
      </w:r>
      <w:r>
        <w:rPr>
          <w:rFonts w:ascii="Times New Roman" w:hAnsi="Times New Roman"/>
          <w:color w:val="333333"/>
          <w:sz w:val="22"/>
          <w:szCs w:val="22"/>
          <w:lang w:val="nl-NL" w:eastAsia="nl-BE"/>
        </w:rPr>
        <w:t>5,1</w:t>
      </w:r>
      <w:r w:rsidRPr="00FE4D85">
        <w:rPr>
          <w:rFonts w:ascii="Times New Roman" w:hAnsi="Times New Roman"/>
          <w:color w:val="333333"/>
          <w:sz w:val="22"/>
          <w:szCs w:val="22"/>
          <w:lang w:val="nl-NL" w:eastAsia="nl-BE"/>
        </w:rPr>
        <w:t xml:space="preserve"> EUR op</w:t>
      </w:r>
      <w:r>
        <w:rPr>
          <w:rFonts w:ascii="Times New Roman" w:hAnsi="Times New Roman"/>
          <w:color w:val="333333"/>
          <w:sz w:val="22"/>
          <w:szCs w:val="22"/>
          <w:lang w:val="nl-NL" w:eastAsia="nl-BE"/>
        </w:rPr>
        <w:t>. In 2010 is dit rendement opnieuw gestegen tot 6,1 EUR</w:t>
      </w:r>
      <w:r w:rsidRPr="00FE4D85">
        <w:rPr>
          <w:rFonts w:ascii="Times New Roman" w:hAnsi="Times New Roman"/>
          <w:color w:val="333333"/>
          <w:sz w:val="22"/>
          <w:szCs w:val="22"/>
          <w:lang w:val="nl-NL" w:eastAsia="nl-BE"/>
        </w:rPr>
        <w:t xml:space="preserve">. </w:t>
      </w:r>
      <w:r>
        <w:rPr>
          <w:rFonts w:ascii="Times New Roman" w:hAnsi="Times New Roman"/>
          <w:color w:val="333333"/>
          <w:sz w:val="22"/>
          <w:szCs w:val="22"/>
          <w:lang w:val="nl-NL" w:eastAsia="nl-BE"/>
        </w:rPr>
        <w:t>Dit is echter nog steeds 1,2 EUR minder dan eind 2007.</w:t>
      </w:r>
    </w:p>
    <w:p w:rsidR="00D408E3" w:rsidRDefault="00D408E3" w:rsidP="00E96354">
      <w:pPr>
        <w:rPr>
          <w:rFonts w:ascii="Times New Roman" w:hAnsi="Times New Roman"/>
          <w:color w:val="333333"/>
          <w:sz w:val="22"/>
          <w:szCs w:val="22"/>
          <w:lang w:val="nl-NL" w:eastAsia="nl-BE"/>
        </w:rPr>
      </w:pPr>
    </w:p>
    <w:p w:rsidR="00D408E3" w:rsidRDefault="00D408E3">
      <w:pPr>
        <w:tabs>
          <w:tab w:val="clear" w:pos="284"/>
          <w:tab w:val="clear" w:pos="567"/>
          <w:tab w:val="clear" w:pos="851"/>
          <w:tab w:val="clear" w:pos="1985"/>
          <w:tab w:val="clear" w:pos="3119"/>
          <w:tab w:val="clear" w:pos="4253"/>
          <w:tab w:val="clear" w:pos="7655"/>
        </w:tabs>
        <w:spacing w:line="240" w:lineRule="auto"/>
        <w:rPr>
          <w:rFonts w:ascii="Times New Roman" w:hAnsi="Times New Roman"/>
          <w:b/>
          <w:color w:val="002060"/>
          <w:sz w:val="28"/>
          <w:szCs w:val="24"/>
          <w:lang w:val="nl-NL"/>
        </w:rPr>
      </w:pPr>
      <w:r>
        <w:rPr>
          <w:rFonts w:ascii="Times New Roman" w:hAnsi="Times New Roman"/>
          <w:b/>
          <w:color w:val="002060"/>
          <w:sz w:val="28"/>
          <w:szCs w:val="24"/>
          <w:lang w:val="nl-NL"/>
        </w:rPr>
        <w:br w:type="page"/>
      </w:r>
    </w:p>
    <w:p w:rsidR="00D408E3" w:rsidRPr="00C50B7C" w:rsidRDefault="00D408E3" w:rsidP="007D48C1">
      <w:pPr>
        <w:rPr>
          <w:rFonts w:ascii="Times New Roman" w:hAnsi="Times New Roman"/>
          <w:b/>
          <w:color w:val="002060"/>
          <w:sz w:val="28"/>
          <w:szCs w:val="24"/>
          <w:lang w:val="nl-NL"/>
        </w:rPr>
      </w:pPr>
      <w:r w:rsidRPr="00B03E93">
        <w:rPr>
          <w:rFonts w:ascii="Times New Roman" w:hAnsi="Times New Roman"/>
          <w:b/>
          <w:color w:val="002060"/>
          <w:sz w:val="22"/>
          <w:szCs w:val="24"/>
          <w:lang w:val="nl-NL"/>
        </w:rPr>
        <w:t>Terugbetalingscapaciteit zo goed als hersteld</w:t>
      </w:r>
    </w:p>
    <w:p w:rsidR="00D408E3" w:rsidRDefault="00D408E3" w:rsidP="007D48C1">
      <w:pPr>
        <w:rPr>
          <w:rFonts w:ascii="Times New Roman" w:hAnsi="Times New Roman"/>
          <w:color w:val="333333"/>
          <w:sz w:val="22"/>
          <w:szCs w:val="22"/>
          <w:lang w:val="nl-NL" w:eastAsia="nl-BE"/>
        </w:rPr>
      </w:pPr>
    </w:p>
    <w:p w:rsidR="00D408E3" w:rsidRDefault="00D408E3" w:rsidP="00C50B7C">
      <w:pPr>
        <w:rPr>
          <w:rFonts w:ascii="Times New Roman" w:hAnsi="Times New Roman"/>
          <w:color w:val="333333"/>
          <w:sz w:val="22"/>
          <w:szCs w:val="22"/>
          <w:lang w:val="nl-NL" w:eastAsia="nl-BE"/>
        </w:rPr>
      </w:pPr>
      <w:r w:rsidRPr="00C50B7C">
        <w:rPr>
          <w:rFonts w:ascii="Times New Roman" w:hAnsi="Times New Roman"/>
          <w:color w:val="333333"/>
          <w:sz w:val="22"/>
          <w:szCs w:val="22"/>
          <w:lang w:val="nl-NL" w:eastAsia="nl-BE"/>
        </w:rPr>
        <w:t xml:space="preserve">Het aantal ondernemingen dat beroep doet op </w:t>
      </w:r>
      <w:r>
        <w:rPr>
          <w:rFonts w:ascii="Times New Roman" w:hAnsi="Times New Roman"/>
          <w:color w:val="333333"/>
          <w:sz w:val="22"/>
          <w:szCs w:val="22"/>
          <w:lang w:val="nl-NL" w:eastAsia="nl-BE"/>
        </w:rPr>
        <w:t>bancair krediet</w:t>
      </w:r>
      <w:r w:rsidRPr="00C50B7C">
        <w:rPr>
          <w:rFonts w:ascii="Times New Roman" w:hAnsi="Times New Roman"/>
          <w:color w:val="333333"/>
          <w:sz w:val="22"/>
          <w:szCs w:val="22"/>
          <w:lang w:val="nl-NL" w:eastAsia="nl-BE"/>
        </w:rPr>
        <w:t xml:space="preserve"> blijft schommelen rond de 70%. De vraag rijst dan ook of deze ondernemingen voldoende netto-operationele</w:t>
      </w:r>
      <w:r>
        <w:rPr>
          <w:rFonts w:ascii="Times New Roman" w:hAnsi="Times New Roman"/>
          <w:color w:val="333333"/>
          <w:sz w:val="22"/>
          <w:szCs w:val="22"/>
          <w:lang w:val="nl-NL" w:eastAsia="nl-BE"/>
        </w:rPr>
        <w:t xml:space="preserve"> </w:t>
      </w:r>
      <w:r w:rsidRPr="00C50B7C">
        <w:rPr>
          <w:rFonts w:ascii="Times New Roman" w:hAnsi="Times New Roman"/>
          <w:color w:val="333333"/>
          <w:sz w:val="22"/>
          <w:szCs w:val="22"/>
          <w:lang w:val="nl-NL" w:eastAsia="nl-BE"/>
        </w:rPr>
        <w:t xml:space="preserve">cashflow genereren om hun financiële verplichtingen (aflossing van schulden en intrestlasten) te kunnen nakomen. </w:t>
      </w:r>
    </w:p>
    <w:p w:rsidR="00D408E3" w:rsidRPr="00C50B7C" w:rsidRDefault="00D408E3" w:rsidP="00C50B7C">
      <w:pPr>
        <w:rPr>
          <w:rFonts w:ascii="Times New Roman" w:hAnsi="Times New Roman"/>
          <w:color w:val="333333"/>
          <w:sz w:val="22"/>
          <w:szCs w:val="22"/>
          <w:lang w:val="nl-NL" w:eastAsia="nl-BE"/>
        </w:rPr>
      </w:pPr>
    </w:p>
    <w:p w:rsidR="00D408E3" w:rsidRDefault="00D408E3" w:rsidP="00C50B7C">
      <w:pPr>
        <w:rPr>
          <w:rFonts w:ascii="Times New Roman" w:hAnsi="Times New Roman"/>
          <w:color w:val="333333"/>
          <w:sz w:val="22"/>
          <w:szCs w:val="22"/>
          <w:lang w:val="nl-NL" w:eastAsia="nl-BE"/>
        </w:rPr>
      </w:pPr>
      <w:r w:rsidRPr="006333C8">
        <w:rPr>
          <w:rFonts w:ascii="Times New Roman" w:hAnsi="Times New Roman"/>
          <w:color w:val="333333"/>
          <w:sz w:val="22"/>
          <w:szCs w:val="22"/>
          <w:lang w:val="nl-NL" w:eastAsia="nl-BE"/>
        </w:rPr>
        <w:t xml:space="preserve">Terwijl in 2009 nog 29% van de </w:t>
      </w:r>
      <w:r>
        <w:rPr>
          <w:rFonts w:ascii="Times New Roman" w:hAnsi="Times New Roman"/>
          <w:color w:val="333333"/>
          <w:sz w:val="22"/>
          <w:szCs w:val="22"/>
          <w:lang w:val="nl-NL" w:eastAsia="nl-BE"/>
        </w:rPr>
        <w:t>kmo</w:t>
      </w:r>
      <w:r w:rsidRPr="006333C8">
        <w:rPr>
          <w:rFonts w:ascii="Times New Roman" w:hAnsi="Times New Roman"/>
          <w:color w:val="333333"/>
          <w:sz w:val="22"/>
          <w:szCs w:val="22"/>
          <w:lang w:val="nl-NL" w:eastAsia="nl-BE"/>
        </w:rPr>
        <w:t>’s hun financiële verplichtingen niet meer kon nakomen, is dit aantal in 2010 gedaald tot 24%. Ten opzichte van 2007 bevindt zich echter nog steeds 2% meer ondernemingen in de ‘gevarenzone’.</w:t>
      </w:r>
    </w:p>
    <w:p w:rsidR="00D408E3" w:rsidRPr="00C50B7C" w:rsidRDefault="00D408E3" w:rsidP="00C50B7C">
      <w:pPr>
        <w:rPr>
          <w:rFonts w:ascii="Times New Roman" w:hAnsi="Times New Roman"/>
          <w:color w:val="333333"/>
          <w:sz w:val="22"/>
          <w:szCs w:val="22"/>
          <w:lang w:val="nl-NL" w:eastAsia="nl-BE"/>
        </w:rPr>
      </w:pPr>
    </w:p>
    <w:p w:rsidR="00D408E3" w:rsidRDefault="00D408E3" w:rsidP="00C50B7C">
      <w:pPr>
        <w:rPr>
          <w:rFonts w:ascii="Times New Roman" w:hAnsi="Times New Roman"/>
          <w:color w:val="333333"/>
          <w:sz w:val="22"/>
          <w:szCs w:val="22"/>
          <w:lang w:val="nl-NL" w:eastAsia="nl-BE"/>
        </w:rPr>
      </w:pPr>
      <w:r>
        <w:rPr>
          <w:rFonts w:ascii="Times New Roman" w:hAnsi="Times New Roman"/>
          <w:color w:val="333333"/>
          <w:sz w:val="22"/>
          <w:szCs w:val="22"/>
          <w:lang w:val="nl-NL" w:eastAsia="nl-BE"/>
        </w:rPr>
        <w:t>Begin 2007 noteerde de doorsnee-</w:t>
      </w:r>
      <w:r w:rsidRPr="00C50B7C">
        <w:rPr>
          <w:rFonts w:ascii="Times New Roman" w:hAnsi="Times New Roman"/>
          <w:color w:val="333333"/>
          <w:sz w:val="22"/>
          <w:szCs w:val="22"/>
          <w:lang w:val="nl-NL" w:eastAsia="nl-BE"/>
        </w:rPr>
        <w:t>exploitatie-</w:t>
      </w:r>
      <w:r>
        <w:rPr>
          <w:rFonts w:ascii="Times New Roman" w:hAnsi="Times New Roman"/>
          <w:color w:val="333333"/>
          <w:sz w:val="22"/>
          <w:szCs w:val="22"/>
          <w:lang w:val="nl-NL" w:eastAsia="nl-BE"/>
        </w:rPr>
        <w:t>kmo</w:t>
      </w:r>
      <w:r w:rsidRPr="00C50B7C">
        <w:rPr>
          <w:rFonts w:ascii="Times New Roman" w:hAnsi="Times New Roman"/>
          <w:color w:val="333333"/>
          <w:sz w:val="22"/>
          <w:szCs w:val="22"/>
          <w:lang w:val="nl-NL" w:eastAsia="nl-BE"/>
        </w:rPr>
        <w:t xml:space="preserve"> nog een terugbetalingscapaciteit van 231</w:t>
      </w:r>
      <w:r w:rsidRPr="00D734E3">
        <w:rPr>
          <w:rFonts w:ascii="Times New Roman" w:hAnsi="Times New Roman"/>
          <w:color w:val="333333"/>
          <w:sz w:val="22"/>
          <w:szCs w:val="22"/>
          <w:lang w:val="nl-NL" w:eastAsia="nl-BE"/>
        </w:rPr>
        <w:t>%. Dit was een mooie “buffer” om bij een eventueel verdere terugval van de netto cashflow toch nog de financiële verplichtingen te kunnen nakomen</w:t>
      </w:r>
      <w:r>
        <w:rPr>
          <w:rFonts w:ascii="Times New Roman" w:hAnsi="Times New Roman"/>
          <w:color w:val="333333"/>
          <w:sz w:val="22"/>
          <w:szCs w:val="22"/>
          <w:lang w:val="nl-NL" w:eastAsia="nl-BE"/>
        </w:rPr>
        <w:t>.</w:t>
      </w:r>
      <w:r w:rsidRPr="00C50B7C">
        <w:rPr>
          <w:rFonts w:ascii="Times New Roman" w:hAnsi="Times New Roman"/>
          <w:color w:val="333333"/>
          <w:sz w:val="22"/>
          <w:szCs w:val="22"/>
          <w:lang w:val="nl-NL" w:eastAsia="nl-BE"/>
        </w:rPr>
        <w:t xml:space="preserve"> </w:t>
      </w:r>
      <w:r>
        <w:rPr>
          <w:rFonts w:ascii="Times New Roman" w:hAnsi="Times New Roman"/>
          <w:color w:val="333333"/>
          <w:sz w:val="22"/>
          <w:szCs w:val="22"/>
          <w:lang w:val="nl-NL" w:eastAsia="nl-BE"/>
        </w:rPr>
        <w:t>Eind 2009 beschikte de helft van de exploitatievennootschappen nog slechts over een terugbetalingscapaciteit van maximaal</w:t>
      </w:r>
      <w:r w:rsidRPr="00C50B7C">
        <w:rPr>
          <w:rFonts w:ascii="Times New Roman" w:hAnsi="Times New Roman"/>
          <w:color w:val="333333"/>
          <w:sz w:val="22"/>
          <w:szCs w:val="22"/>
          <w:lang w:val="nl-NL" w:eastAsia="nl-BE"/>
        </w:rPr>
        <w:t xml:space="preserve"> 194%</w:t>
      </w:r>
      <w:r>
        <w:rPr>
          <w:rFonts w:ascii="Times New Roman" w:hAnsi="Times New Roman"/>
          <w:color w:val="333333"/>
          <w:sz w:val="22"/>
          <w:szCs w:val="22"/>
          <w:lang w:val="nl-NL" w:eastAsia="nl-BE"/>
        </w:rPr>
        <w:t xml:space="preserve">. In 2010 heeft de terugbetalingscapaciteit zich hersteld en noteerde de doorsnee-kmo opnieuw een waarde van </w:t>
      </w:r>
      <w:r w:rsidRPr="00C50B7C">
        <w:rPr>
          <w:rFonts w:ascii="Times New Roman" w:hAnsi="Times New Roman"/>
          <w:color w:val="333333"/>
          <w:sz w:val="22"/>
          <w:szCs w:val="22"/>
          <w:lang w:val="nl-NL" w:eastAsia="nl-BE"/>
        </w:rPr>
        <w:t>227%. Hiermee positioneert de terugbetalingscapaciteit van de doorsnee</w:t>
      </w:r>
      <w:r>
        <w:rPr>
          <w:rFonts w:ascii="Times New Roman" w:hAnsi="Times New Roman"/>
          <w:color w:val="333333"/>
          <w:sz w:val="22"/>
          <w:szCs w:val="22"/>
          <w:lang w:val="nl-NL" w:eastAsia="nl-BE"/>
        </w:rPr>
        <w:t>-kmo</w:t>
      </w:r>
      <w:r w:rsidRPr="00C50B7C">
        <w:rPr>
          <w:rFonts w:ascii="Times New Roman" w:hAnsi="Times New Roman"/>
          <w:color w:val="333333"/>
          <w:sz w:val="22"/>
          <w:szCs w:val="22"/>
          <w:lang w:val="nl-NL" w:eastAsia="nl-BE"/>
        </w:rPr>
        <w:t xml:space="preserve"> zich op het eerste </w:t>
      </w:r>
      <w:r>
        <w:rPr>
          <w:rFonts w:ascii="Times New Roman" w:hAnsi="Times New Roman"/>
          <w:color w:val="333333"/>
          <w:sz w:val="22"/>
          <w:szCs w:val="22"/>
          <w:lang w:val="nl-NL" w:eastAsia="nl-BE"/>
        </w:rPr>
        <w:t>ge</w:t>
      </w:r>
      <w:r w:rsidRPr="00C50B7C">
        <w:rPr>
          <w:rFonts w:ascii="Times New Roman" w:hAnsi="Times New Roman"/>
          <w:color w:val="333333"/>
          <w:sz w:val="22"/>
          <w:szCs w:val="22"/>
          <w:lang w:val="nl-NL" w:eastAsia="nl-BE"/>
        </w:rPr>
        <w:t xml:space="preserve">zicht </w:t>
      </w:r>
      <w:r>
        <w:rPr>
          <w:rFonts w:ascii="Times New Roman" w:hAnsi="Times New Roman"/>
          <w:color w:val="333333"/>
          <w:sz w:val="22"/>
          <w:szCs w:val="22"/>
          <w:lang w:val="nl-NL" w:eastAsia="nl-BE"/>
        </w:rPr>
        <w:t>opnieuw</w:t>
      </w:r>
      <w:r w:rsidRPr="00C50B7C">
        <w:rPr>
          <w:rFonts w:ascii="Times New Roman" w:hAnsi="Times New Roman"/>
          <w:color w:val="333333"/>
          <w:sz w:val="22"/>
          <w:szCs w:val="22"/>
          <w:lang w:val="nl-NL" w:eastAsia="nl-BE"/>
        </w:rPr>
        <w:t xml:space="preserve"> op het niveau van voor de financieel-economische crisis. </w:t>
      </w:r>
    </w:p>
    <w:p w:rsidR="00D408E3" w:rsidRDefault="00D408E3" w:rsidP="00C50B7C">
      <w:pPr>
        <w:rPr>
          <w:rFonts w:ascii="Times New Roman" w:hAnsi="Times New Roman"/>
          <w:color w:val="333333"/>
          <w:sz w:val="22"/>
          <w:szCs w:val="22"/>
          <w:lang w:val="nl-NL" w:eastAsia="nl-BE"/>
        </w:rPr>
      </w:pPr>
    </w:p>
    <w:p w:rsidR="00D408E3" w:rsidRDefault="00D408E3" w:rsidP="00C50B7C">
      <w:pPr>
        <w:rPr>
          <w:rFonts w:ascii="Times New Roman" w:hAnsi="Times New Roman"/>
          <w:color w:val="333333"/>
          <w:sz w:val="22"/>
          <w:szCs w:val="22"/>
          <w:lang w:val="nl-NL" w:eastAsia="nl-BE"/>
        </w:rPr>
      </w:pPr>
      <w:r>
        <w:rPr>
          <w:noProof/>
          <w:lang w:val="en-US" w:eastAsia="en-US"/>
        </w:rPr>
        <w:pict>
          <v:shape id="Picture 3" o:spid="_x0000_s1030" type="#_x0000_t75" style="position:absolute;margin-left:0;margin-top:12.85pt;width:312.75pt;height:171.75pt;z-index:251659264;visibility:visible">
            <v:imagedata r:id="rId9" o:title=""/>
            <w10:wrap type="square"/>
          </v:shape>
        </w:pict>
      </w:r>
    </w:p>
    <w:p w:rsidR="00D408E3" w:rsidRPr="00C50B7C" w:rsidRDefault="00D408E3" w:rsidP="00C50B7C">
      <w:pPr>
        <w:rPr>
          <w:rFonts w:ascii="Times New Roman" w:hAnsi="Times New Roman"/>
          <w:color w:val="333333"/>
          <w:sz w:val="22"/>
          <w:szCs w:val="22"/>
          <w:lang w:val="nl-NL" w:eastAsia="nl-BE"/>
        </w:rPr>
      </w:pPr>
      <w:r>
        <w:rPr>
          <w:rFonts w:ascii="Times New Roman" w:hAnsi="Times New Roman"/>
          <w:color w:val="333333"/>
          <w:sz w:val="22"/>
          <w:szCs w:val="22"/>
          <w:lang w:val="nl-NL" w:eastAsia="nl-BE"/>
        </w:rPr>
        <w:t>D</w:t>
      </w:r>
      <w:r w:rsidRPr="00FE603F">
        <w:rPr>
          <w:rFonts w:ascii="Times New Roman" w:hAnsi="Times New Roman"/>
          <w:color w:val="333333"/>
          <w:sz w:val="22"/>
          <w:szCs w:val="22"/>
          <w:lang w:val="nl-NL" w:eastAsia="nl-BE"/>
        </w:rPr>
        <w:t>eloitte noteert</w:t>
      </w:r>
      <w:r>
        <w:rPr>
          <w:rFonts w:ascii="Times New Roman" w:hAnsi="Times New Roman"/>
          <w:color w:val="333333"/>
          <w:sz w:val="22"/>
          <w:szCs w:val="22"/>
          <w:lang w:val="nl-NL" w:eastAsia="nl-BE"/>
        </w:rPr>
        <w:t xml:space="preserve"> echter belangrijke sectorale verschillen. De dienstensector en de handel beschikten eind 2010 over een betere terugbetalingscapaciteit dan voor de crisisperiode. In beide sectoren financieren zich trouwens ook minder vennootschappen met bancair krediet dan voor het uitbreken van de crisis. Binnen de </w:t>
      </w:r>
      <w:r w:rsidRPr="00C50B7C">
        <w:rPr>
          <w:rFonts w:ascii="Times New Roman" w:hAnsi="Times New Roman"/>
          <w:color w:val="333333"/>
          <w:sz w:val="22"/>
          <w:szCs w:val="22"/>
          <w:lang w:val="nl-NL" w:eastAsia="nl-BE"/>
        </w:rPr>
        <w:t xml:space="preserve">bouwsector </w:t>
      </w:r>
      <w:r>
        <w:rPr>
          <w:rFonts w:ascii="Times New Roman" w:hAnsi="Times New Roman"/>
          <w:color w:val="333333"/>
          <w:sz w:val="22"/>
          <w:szCs w:val="22"/>
          <w:lang w:val="nl-NL" w:eastAsia="nl-BE"/>
        </w:rPr>
        <w:t xml:space="preserve">is </w:t>
      </w:r>
      <w:r w:rsidRPr="00C50B7C">
        <w:rPr>
          <w:rFonts w:ascii="Times New Roman" w:hAnsi="Times New Roman"/>
          <w:color w:val="333333"/>
          <w:sz w:val="22"/>
          <w:szCs w:val="22"/>
          <w:lang w:val="nl-NL" w:eastAsia="nl-BE"/>
        </w:rPr>
        <w:t xml:space="preserve">de terugbetalingscapaciteit </w:t>
      </w:r>
      <w:r>
        <w:rPr>
          <w:rFonts w:ascii="Times New Roman" w:hAnsi="Times New Roman"/>
          <w:color w:val="333333"/>
          <w:sz w:val="22"/>
          <w:szCs w:val="22"/>
          <w:lang w:val="nl-NL" w:eastAsia="nl-BE"/>
        </w:rPr>
        <w:t>daarentegen het</w:t>
      </w:r>
      <w:r w:rsidRPr="00C50B7C">
        <w:rPr>
          <w:rFonts w:ascii="Times New Roman" w:hAnsi="Times New Roman"/>
          <w:color w:val="333333"/>
          <w:sz w:val="22"/>
          <w:szCs w:val="22"/>
          <w:lang w:val="nl-NL" w:eastAsia="nl-BE"/>
        </w:rPr>
        <w:t xml:space="preserve"> voorbije jaar nog verder afgek</w:t>
      </w:r>
      <w:r>
        <w:rPr>
          <w:rFonts w:ascii="Times New Roman" w:hAnsi="Times New Roman"/>
          <w:color w:val="333333"/>
          <w:sz w:val="22"/>
          <w:szCs w:val="22"/>
          <w:lang w:val="nl-NL" w:eastAsia="nl-BE"/>
        </w:rPr>
        <w:t>a</w:t>
      </w:r>
      <w:r w:rsidRPr="00C50B7C">
        <w:rPr>
          <w:rFonts w:ascii="Times New Roman" w:hAnsi="Times New Roman"/>
          <w:color w:val="333333"/>
          <w:sz w:val="22"/>
          <w:szCs w:val="22"/>
          <w:lang w:val="nl-NL" w:eastAsia="nl-BE"/>
        </w:rPr>
        <w:t>lfd. Eind 2010 noteren de industriële ondernemingen de kleinste terugbetalingscapaciteit.</w:t>
      </w:r>
      <w:r>
        <w:rPr>
          <w:rFonts w:ascii="Times New Roman" w:hAnsi="Times New Roman"/>
          <w:color w:val="333333"/>
          <w:sz w:val="22"/>
          <w:szCs w:val="22"/>
          <w:lang w:val="nl-NL" w:eastAsia="nl-BE"/>
        </w:rPr>
        <w:t xml:space="preserve"> Precies in deze sectoren is ook het aantal ondernemingen dat beroep doet op bancair vermogen de voorbije 3 jaar gestegen.</w:t>
      </w:r>
      <w:r w:rsidRPr="00897D3F">
        <w:rPr>
          <w:noProof/>
          <w:lang w:val="nl-BE" w:eastAsia="en-US"/>
        </w:rPr>
        <w:t xml:space="preserve"> </w:t>
      </w:r>
    </w:p>
    <w:p w:rsidR="00D408E3" w:rsidRPr="00C50B7C" w:rsidRDefault="00D408E3" w:rsidP="007D48C1">
      <w:pPr>
        <w:rPr>
          <w:rFonts w:ascii="Times New Roman" w:hAnsi="Times New Roman"/>
          <w:color w:val="333333"/>
          <w:sz w:val="22"/>
          <w:szCs w:val="22"/>
          <w:lang w:val="nl-NL" w:eastAsia="nl-BE"/>
        </w:rPr>
      </w:pPr>
    </w:p>
    <w:p w:rsidR="00D408E3" w:rsidRPr="00FE603F" w:rsidRDefault="00D408E3" w:rsidP="007D48C1">
      <w:pPr>
        <w:rPr>
          <w:rFonts w:ascii="Times New Roman" w:hAnsi="Times New Roman"/>
          <w:strike/>
          <w:color w:val="333333"/>
          <w:sz w:val="18"/>
          <w:szCs w:val="22"/>
          <w:lang w:val="nl-NL" w:eastAsia="nl-BE"/>
        </w:rPr>
      </w:pPr>
      <w:r w:rsidRPr="00FE603F">
        <w:rPr>
          <w:rFonts w:ascii="Times New Roman" w:hAnsi="Times New Roman"/>
          <w:b/>
          <w:color w:val="002060"/>
          <w:sz w:val="22"/>
          <w:szCs w:val="24"/>
          <w:lang w:val="nl-NL"/>
        </w:rPr>
        <w:t xml:space="preserve">Strikter beheer bedrijfskapitaal in Belgische </w:t>
      </w:r>
      <w:r>
        <w:rPr>
          <w:rFonts w:ascii="Times New Roman" w:hAnsi="Times New Roman"/>
          <w:b/>
          <w:color w:val="002060"/>
          <w:sz w:val="22"/>
          <w:szCs w:val="24"/>
          <w:lang w:val="nl-NL"/>
        </w:rPr>
        <w:t>kmo</w:t>
      </w:r>
    </w:p>
    <w:p w:rsidR="00D408E3" w:rsidRDefault="00D408E3" w:rsidP="007D48C1">
      <w:pPr>
        <w:rPr>
          <w:rFonts w:ascii="Times New Roman" w:hAnsi="Times New Roman"/>
          <w:b/>
          <w:color w:val="002060"/>
          <w:sz w:val="22"/>
          <w:szCs w:val="22"/>
          <w:lang w:val="nl-NL"/>
        </w:rPr>
      </w:pPr>
    </w:p>
    <w:p w:rsidR="00D408E3" w:rsidRPr="00E01689" w:rsidRDefault="00D408E3" w:rsidP="00E01689">
      <w:pPr>
        <w:rPr>
          <w:rFonts w:ascii="Times New Roman" w:hAnsi="Times New Roman"/>
          <w:i/>
          <w:color w:val="333333"/>
          <w:sz w:val="22"/>
          <w:szCs w:val="22"/>
          <w:lang w:val="nl-NL" w:eastAsia="nl-BE"/>
        </w:rPr>
      </w:pPr>
      <w:r>
        <w:rPr>
          <w:rFonts w:ascii="Times New Roman" w:hAnsi="Times New Roman"/>
          <w:color w:val="333333"/>
          <w:sz w:val="22"/>
          <w:szCs w:val="22"/>
          <w:lang w:val="nl-NL" w:eastAsia="nl-BE"/>
        </w:rPr>
        <w:t>De doorsnee exploitatievennootschap wist de voorbije 3 jaar haar</w:t>
      </w:r>
      <w:r w:rsidRPr="006C3FB5">
        <w:rPr>
          <w:rFonts w:ascii="Times New Roman" w:hAnsi="Times New Roman"/>
          <w:color w:val="333333"/>
          <w:sz w:val="22"/>
          <w:szCs w:val="22"/>
          <w:lang w:val="nl-NL" w:eastAsia="nl-BE"/>
        </w:rPr>
        <w:t xml:space="preserve"> </w:t>
      </w:r>
      <w:r>
        <w:rPr>
          <w:rFonts w:ascii="Times New Roman" w:hAnsi="Times New Roman"/>
          <w:color w:val="333333"/>
          <w:sz w:val="22"/>
          <w:szCs w:val="22"/>
          <w:lang w:val="nl-NL" w:eastAsia="nl-BE"/>
        </w:rPr>
        <w:t xml:space="preserve">behoefte aan </w:t>
      </w:r>
      <w:r w:rsidRPr="006C3FB5">
        <w:rPr>
          <w:rFonts w:ascii="Times New Roman" w:hAnsi="Times New Roman"/>
          <w:color w:val="333333"/>
          <w:sz w:val="22"/>
          <w:szCs w:val="22"/>
          <w:lang w:val="nl-NL" w:eastAsia="nl-BE"/>
        </w:rPr>
        <w:t xml:space="preserve">bedrijfskapitaal </w:t>
      </w:r>
      <w:r>
        <w:rPr>
          <w:rFonts w:ascii="Times New Roman" w:hAnsi="Times New Roman"/>
          <w:color w:val="333333"/>
          <w:sz w:val="22"/>
          <w:szCs w:val="22"/>
          <w:lang w:val="nl-NL" w:eastAsia="nl-BE"/>
        </w:rPr>
        <w:t xml:space="preserve">te drukken van </w:t>
      </w:r>
      <w:r w:rsidRPr="006C3FB5">
        <w:rPr>
          <w:rFonts w:ascii="Times New Roman" w:hAnsi="Times New Roman"/>
          <w:color w:val="333333"/>
          <w:sz w:val="22"/>
          <w:szCs w:val="22"/>
          <w:lang w:val="nl-NL" w:eastAsia="nl-BE"/>
        </w:rPr>
        <w:t>7,8</w:t>
      </w:r>
      <w:r>
        <w:rPr>
          <w:rFonts w:ascii="Times New Roman" w:hAnsi="Times New Roman"/>
          <w:color w:val="333333"/>
          <w:sz w:val="22"/>
          <w:szCs w:val="22"/>
          <w:lang w:val="nl-NL" w:eastAsia="nl-BE"/>
        </w:rPr>
        <w:t xml:space="preserve"> EUR</w:t>
      </w:r>
      <w:r w:rsidRPr="006C3FB5">
        <w:rPr>
          <w:rFonts w:ascii="Times New Roman" w:hAnsi="Times New Roman"/>
          <w:color w:val="333333"/>
          <w:sz w:val="22"/>
          <w:szCs w:val="22"/>
          <w:lang w:val="nl-NL" w:eastAsia="nl-BE"/>
        </w:rPr>
        <w:t xml:space="preserve"> tot 7,5</w:t>
      </w:r>
      <w:r>
        <w:rPr>
          <w:rFonts w:ascii="Times New Roman" w:hAnsi="Times New Roman"/>
          <w:color w:val="333333"/>
          <w:sz w:val="22"/>
          <w:szCs w:val="22"/>
          <w:lang w:val="nl-NL" w:eastAsia="nl-BE"/>
        </w:rPr>
        <w:t xml:space="preserve"> EUR per 100 EUR bedrijfsopbrengsten. Nikolaas Tahon verduidelijkt: </w:t>
      </w:r>
      <w:r w:rsidRPr="00E01689">
        <w:rPr>
          <w:rFonts w:ascii="Times New Roman" w:hAnsi="Times New Roman"/>
          <w:i/>
          <w:color w:val="333333"/>
          <w:sz w:val="22"/>
          <w:szCs w:val="22"/>
          <w:lang w:val="nl-NL" w:eastAsia="nl-BE"/>
        </w:rPr>
        <w:t>“Door de crisis is de doorsnee</w:t>
      </w:r>
      <w:r>
        <w:rPr>
          <w:rFonts w:ascii="Times New Roman" w:hAnsi="Times New Roman"/>
          <w:i/>
          <w:color w:val="333333"/>
          <w:sz w:val="22"/>
          <w:szCs w:val="22"/>
          <w:lang w:val="nl-NL" w:eastAsia="nl-BE"/>
        </w:rPr>
        <w:t>-kmo</w:t>
      </w:r>
      <w:r w:rsidRPr="00E01689">
        <w:rPr>
          <w:rFonts w:ascii="Times New Roman" w:hAnsi="Times New Roman"/>
          <w:i/>
          <w:color w:val="333333"/>
          <w:sz w:val="22"/>
          <w:szCs w:val="22"/>
          <w:lang w:val="nl-NL" w:eastAsia="nl-BE"/>
        </w:rPr>
        <w:t xml:space="preserve"> immers genoodzaakt de verschillende componenten</w:t>
      </w:r>
      <w:r>
        <w:rPr>
          <w:rFonts w:ascii="Times New Roman" w:hAnsi="Times New Roman"/>
          <w:i/>
          <w:color w:val="333333"/>
          <w:sz w:val="22"/>
          <w:szCs w:val="22"/>
          <w:lang w:val="nl-NL" w:eastAsia="nl-BE"/>
        </w:rPr>
        <w:t>,</w:t>
      </w:r>
      <w:r w:rsidRPr="00E01689">
        <w:rPr>
          <w:rFonts w:ascii="Times New Roman" w:hAnsi="Times New Roman"/>
          <w:i/>
          <w:color w:val="333333"/>
          <w:sz w:val="22"/>
          <w:szCs w:val="22"/>
          <w:lang w:val="nl-NL" w:eastAsia="nl-BE"/>
        </w:rPr>
        <w:t xml:space="preserve"> die de uiteindelijke behoefte aan bedrijfskapitaal bepalen</w:t>
      </w:r>
      <w:r>
        <w:rPr>
          <w:rFonts w:ascii="Times New Roman" w:hAnsi="Times New Roman"/>
          <w:i/>
          <w:color w:val="333333"/>
          <w:sz w:val="22"/>
          <w:szCs w:val="22"/>
          <w:lang w:val="nl-NL" w:eastAsia="nl-BE"/>
        </w:rPr>
        <w:t>,</w:t>
      </w:r>
      <w:r w:rsidRPr="00E01689">
        <w:rPr>
          <w:rFonts w:ascii="Times New Roman" w:hAnsi="Times New Roman"/>
          <w:i/>
          <w:color w:val="333333"/>
          <w:sz w:val="22"/>
          <w:szCs w:val="22"/>
          <w:lang w:val="nl-NL" w:eastAsia="nl-BE"/>
        </w:rPr>
        <w:t xml:space="preserve"> strikter op te volgen: enerzijds het niveau van de aangehouden voorraad en anderzijds de kortetermijnvorderingen</w:t>
      </w:r>
      <w:r>
        <w:rPr>
          <w:rFonts w:ascii="Times New Roman" w:hAnsi="Times New Roman"/>
          <w:i/>
          <w:color w:val="333333"/>
          <w:sz w:val="22"/>
          <w:szCs w:val="22"/>
          <w:lang w:val="nl-NL" w:eastAsia="nl-BE"/>
        </w:rPr>
        <w:t xml:space="preserve">, </w:t>
      </w:r>
      <w:r w:rsidRPr="00E01689">
        <w:rPr>
          <w:rFonts w:ascii="Times New Roman" w:hAnsi="Times New Roman"/>
          <w:i/>
          <w:color w:val="333333"/>
          <w:sz w:val="22"/>
          <w:szCs w:val="22"/>
          <w:lang w:val="nl-NL" w:eastAsia="nl-BE"/>
        </w:rPr>
        <w:t>voornamelijk toegestaan klantenkrediet.”</w:t>
      </w:r>
    </w:p>
    <w:p w:rsidR="00D408E3" w:rsidRDefault="00D408E3" w:rsidP="00E01689">
      <w:pPr>
        <w:rPr>
          <w:rFonts w:ascii="Times New Roman" w:hAnsi="Times New Roman"/>
          <w:color w:val="333333"/>
          <w:sz w:val="22"/>
          <w:szCs w:val="22"/>
          <w:lang w:val="nl-NL" w:eastAsia="nl-BE"/>
        </w:rPr>
      </w:pPr>
    </w:p>
    <w:p w:rsidR="00D408E3" w:rsidRPr="006C3FB5" w:rsidRDefault="00D408E3" w:rsidP="00E01689">
      <w:pPr>
        <w:rPr>
          <w:rFonts w:ascii="Times New Roman" w:hAnsi="Times New Roman"/>
          <w:color w:val="333333"/>
          <w:sz w:val="22"/>
          <w:szCs w:val="22"/>
          <w:lang w:val="nl-NL" w:eastAsia="nl-BE"/>
        </w:rPr>
      </w:pPr>
      <w:r w:rsidRPr="006C3FB5">
        <w:rPr>
          <w:rFonts w:ascii="Times New Roman" w:hAnsi="Times New Roman"/>
          <w:color w:val="333333"/>
          <w:sz w:val="22"/>
          <w:szCs w:val="22"/>
          <w:lang w:val="nl-NL" w:eastAsia="nl-BE"/>
        </w:rPr>
        <w:t>Bij de gemiddelde onderneming daalde het aandeel van de vord</w:t>
      </w:r>
      <w:r>
        <w:rPr>
          <w:rFonts w:ascii="Times New Roman" w:hAnsi="Times New Roman"/>
          <w:color w:val="333333"/>
          <w:sz w:val="22"/>
          <w:szCs w:val="22"/>
          <w:lang w:val="nl-NL" w:eastAsia="nl-BE"/>
        </w:rPr>
        <w:t xml:space="preserve">eringen op korte termijn (exclusief rekeningen-courant) in de totale activa </w:t>
      </w:r>
      <w:r w:rsidRPr="006C3FB5">
        <w:rPr>
          <w:rFonts w:ascii="Times New Roman" w:hAnsi="Times New Roman"/>
          <w:color w:val="333333"/>
          <w:sz w:val="22"/>
          <w:szCs w:val="22"/>
          <w:lang w:val="nl-NL" w:eastAsia="nl-BE"/>
        </w:rPr>
        <w:t>van 23,1% eind 2007 tot 20,8% eind 2010. Ook binnen de verschillende sectoren is dit het geval, met uitzondering van de handel. Hier heeft deze component zich gestabiliseerd rond de 17% à 18%.</w:t>
      </w:r>
    </w:p>
    <w:p w:rsidR="00D408E3" w:rsidRDefault="00D408E3" w:rsidP="006C3FB5">
      <w:pPr>
        <w:jc w:val="both"/>
        <w:rPr>
          <w:rFonts w:ascii="Times New Roman" w:hAnsi="Times New Roman"/>
          <w:color w:val="333333"/>
          <w:sz w:val="22"/>
          <w:szCs w:val="22"/>
          <w:lang w:val="nl-NL" w:eastAsia="nl-BE"/>
        </w:rPr>
      </w:pPr>
    </w:p>
    <w:p w:rsidR="00D408E3" w:rsidRPr="006C3FB5" w:rsidRDefault="00D408E3" w:rsidP="000B013B">
      <w:pPr>
        <w:keepLines/>
        <w:jc w:val="both"/>
        <w:rPr>
          <w:rFonts w:ascii="Times New Roman" w:hAnsi="Times New Roman"/>
          <w:color w:val="333333"/>
          <w:sz w:val="22"/>
          <w:szCs w:val="22"/>
          <w:lang w:val="nl-NL" w:eastAsia="nl-BE"/>
        </w:rPr>
      </w:pPr>
      <w:r w:rsidRPr="006C3FB5">
        <w:rPr>
          <w:rFonts w:ascii="Times New Roman" w:hAnsi="Times New Roman"/>
          <w:color w:val="333333"/>
          <w:sz w:val="22"/>
          <w:szCs w:val="22"/>
          <w:lang w:val="nl-NL" w:eastAsia="nl-BE"/>
        </w:rPr>
        <w:t>Daar waar de doorsnee</w:t>
      </w:r>
      <w:r>
        <w:rPr>
          <w:rFonts w:ascii="Times New Roman" w:hAnsi="Times New Roman"/>
          <w:color w:val="333333"/>
          <w:sz w:val="22"/>
          <w:szCs w:val="22"/>
          <w:lang w:val="nl-NL" w:eastAsia="nl-BE"/>
        </w:rPr>
        <w:t>-</w:t>
      </w:r>
      <w:r w:rsidRPr="006C3FB5">
        <w:rPr>
          <w:rFonts w:ascii="Times New Roman" w:hAnsi="Times New Roman"/>
          <w:color w:val="333333"/>
          <w:sz w:val="22"/>
          <w:szCs w:val="22"/>
          <w:lang w:val="nl-NL" w:eastAsia="nl-BE"/>
        </w:rPr>
        <w:t xml:space="preserve">exploitatievennootschap nog een voorraadniveau (voorraad </w:t>
      </w:r>
      <w:r>
        <w:rPr>
          <w:rFonts w:ascii="Times New Roman" w:hAnsi="Times New Roman"/>
          <w:color w:val="333333"/>
          <w:sz w:val="22"/>
          <w:szCs w:val="22"/>
          <w:lang w:val="nl-NL" w:eastAsia="nl-BE"/>
        </w:rPr>
        <w:t>in verhouding tot de</w:t>
      </w:r>
      <w:r w:rsidRPr="006C3FB5">
        <w:rPr>
          <w:rFonts w:ascii="Times New Roman" w:hAnsi="Times New Roman"/>
          <w:color w:val="333333"/>
          <w:sz w:val="22"/>
          <w:szCs w:val="22"/>
          <w:lang w:val="nl-NL" w:eastAsia="nl-BE"/>
        </w:rPr>
        <w:t xml:space="preserve"> </w:t>
      </w:r>
      <w:r>
        <w:rPr>
          <w:rFonts w:ascii="Times New Roman" w:hAnsi="Times New Roman"/>
          <w:color w:val="333333"/>
          <w:sz w:val="22"/>
          <w:szCs w:val="22"/>
          <w:lang w:val="nl-NL" w:eastAsia="nl-BE"/>
        </w:rPr>
        <w:t>totale activa</w:t>
      </w:r>
      <w:r w:rsidRPr="006C3FB5">
        <w:rPr>
          <w:rFonts w:ascii="Times New Roman" w:hAnsi="Times New Roman"/>
          <w:color w:val="333333"/>
          <w:sz w:val="22"/>
          <w:szCs w:val="22"/>
          <w:lang w:val="nl-NL" w:eastAsia="nl-BE"/>
        </w:rPr>
        <w:t xml:space="preserve">) noteerde van 18,4% eind 2007, is deze in 2010 afgenomen tot 16,7%. Oudere ondernemingen houden gemiddeld een grotere voorraad aan dan jongere bedrijven, maar hebben deze de voorbije 3 jaar </w:t>
      </w:r>
      <w:r>
        <w:rPr>
          <w:rFonts w:ascii="Times New Roman" w:hAnsi="Times New Roman"/>
          <w:color w:val="333333"/>
          <w:sz w:val="22"/>
          <w:szCs w:val="22"/>
          <w:lang w:val="nl-NL" w:eastAsia="nl-BE"/>
        </w:rPr>
        <w:t xml:space="preserve">wel </w:t>
      </w:r>
      <w:r w:rsidRPr="006C3FB5">
        <w:rPr>
          <w:rFonts w:ascii="Times New Roman" w:hAnsi="Times New Roman"/>
          <w:color w:val="333333"/>
          <w:sz w:val="22"/>
          <w:szCs w:val="22"/>
          <w:lang w:val="nl-NL" w:eastAsia="nl-BE"/>
        </w:rPr>
        <w:t>sterker afgebouwd. Dit resulteerde in een daling van de stocks in verhouding tot het totaal actief van 24,1% tot 19,7%. Opnieuw noteren we sterke sectorale verschillen. Voornamelijk de sectoren ‘industrie’ en ‘voeding &amp; landbouw’ hebben hun stocks systematisch afgebouwd</w:t>
      </w:r>
      <w:r>
        <w:rPr>
          <w:rFonts w:ascii="Times New Roman" w:hAnsi="Times New Roman"/>
          <w:color w:val="333333"/>
          <w:sz w:val="22"/>
          <w:szCs w:val="22"/>
          <w:lang w:val="nl-NL" w:eastAsia="nl-BE"/>
        </w:rPr>
        <w:t>.</w:t>
      </w:r>
    </w:p>
    <w:p w:rsidR="00D408E3" w:rsidRDefault="00D408E3" w:rsidP="006C3FB5">
      <w:pPr>
        <w:rPr>
          <w:sz w:val="18"/>
          <w:lang w:val="nl-BE"/>
        </w:rPr>
      </w:pPr>
    </w:p>
    <w:p w:rsidR="00D408E3" w:rsidRPr="00FE603F" w:rsidRDefault="00D408E3" w:rsidP="007D48C1">
      <w:pPr>
        <w:rPr>
          <w:rFonts w:ascii="Times New Roman" w:hAnsi="Times New Roman"/>
          <w:b/>
          <w:color w:val="002060"/>
          <w:sz w:val="22"/>
          <w:szCs w:val="24"/>
          <w:lang w:val="nl-NL"/>
        </w:rPr>
      </w:pPr>
      <w:r w:rsidRPr="00FE603F">
        <w:rPr>
          <w:rFonts w:ascii="Times New Roman" w:hAnsi="Times New Roman"/>
          <w:b/>
          <w:color w:val="002060"/>
          <w:sz w:val="22"/>
          <w:szCs w:val="24"/>
          <w:lang w:val="nl-NL"/>
        </w:rPr>
        <w:t>Investeringsbeleid: voorzichtigheid troef</w:t>
      </w:r>
    </w:p>
    <w:p w:rsidR="00D408E3" w:rsidRDefault="00D408E3" w:rsidP="007D48C1">
      <w:pPr>
        <w:rPr>
          <w:rFonts w:ascii="Times New Roman" w:hAnsi="Times New Roman"/>
          <w:color w:val="333333"/>
          <w:sz w:val="22"/>
          <w:szCs w:val="22"/>
          <w:lang w:val="nl-NL" w:eastAsia="nl-BE"/>
        </w:rPr>
      </w:pPr>
      <w:bookmarkStart w:id="3" w:name="OLE_LINK7"/>
      <w:bookmarkStart w:id="4" w:name="OLE_LINK8"/>
    </w:p>
    <w:bookmarkEnd w:id="3"/>
    <w:bookmarkEnd w:id="4"/>
    <w:p w:rsidR="00D408E3" w:rsidRDefault="00D408E3" w:rsidP="00E01689">
      <w:pPr>
        <w:jc w:val="both"/>
        <w:rPr>
          <w:rFonts w:ascii="Times New Roman" w:hAnsi="Times New Roman"/>
          <w:color w:val="333333"/>
          <w:sz w:val="22"/>
          <w:szCs w:val="22"/>
          <w:lang w:val="nl-NL" w:eastAsia="nl-BE"/>
        </w:rPr>
      </w:pPr>
      <w:r w:rsidRPr="00E01689">
        <w:rPr>
          <w:rFonts w:ascii="Times New Roman" w:hAnsi="Times New Roman"/>
          <w:color w:val="333333"/>
          <w:sz w:val="22"/>
          <w:szCs w:val="22"/>
          <w:lang w:val="nl-NL" w:eastAsia="nl-BE"/>
        </w:rPr>
        <w:t xml:space="preserve">Het aantal ondernemingen dat </w:t>
      </w:r>
      <w:r>
        <w:rPr>
          <w:rFonts w:ascii="Times New Roman" w:hAnsi="Times New Roman"/>
          <w:color w:val="333333"/>
          <w:sz w:val="22"/>
          <w:szCs w:val="22"/>
          <w:lang w:val="nl-NL" w:eastAsia="nl-BE"/>
        </w:rPr>
        <w:t>in 2010</w:t>
      </w:r>
      <w:r w:rsidRPr="00E01689">
        <w:rPr>
          <w:rFonts w:ascii="Times New Roman" w:hAnsi="Times New Roman"/>
          <w:color w:val="333333"/>
          <w:sz w:val="22"/>
          <w:szCs w:val="22"/>
          <w:lang w:val="nl-NL" w:eastAsia="nl-BE"/>
        </w:rPr>
        <w:t xml:space="preserve"> geïnvesteerd heeft, is gedaald ten opzichte van </w:t>
      </w:r>
      <w:r>
        <w:rPr>
          <w:rFonts w:ascii="Times New Roman" w:hAnsi="Times New Roman"/>
          <w:color w:val="333333"/>
          <w:sz w:val="22"/>
          <w:szCs w:val="22"/>
          <w:lang w:val="nl-NL" w:eastAsia="nl-BE"/>
        </w:rPr>
        <w:t xml:space="preserve">de jaren daarvoor. </w:t>
      </w:r>
      <w:r w:rsidRPr="00E01689">
        <w:rPr>
          <w:rFonts w:ascii="Times New Roman" w:hAnsi="Times New Roman"/>
          <w:color w:val="333333"/>
          <w:sz w:val="22"/>
          <w:szCs w:val="22"/>
          <w:lang w:val="nl-NL" w:eastAsia="nl-BE"/>
        </w:rPr>
        <w:t>Bovendien is ook het gemiddeld</w:t>
      </w:r>
      <w:r>
        <w:rPr>
          <w:rFonts w:ascii="Times New Roman" w:hAnsi="Times New Roman"/>
          <w:color w:val="333333"/>
          <w:sz w:val="22"/>
          <w:szCs w:val="22"/>
          <w:lang w:val="nl-NL" w:eastAsia="nl-BE"/>
        </w:rPr>
        <w:t>e</w:t>
      </w:r>
      <w:r w:rsidRPr="00E01689">
        <w:rPr>
          <w:rFonts w:ascii="Times New Roman" w:hAnsi="Times New Roman"/>
          <w:color w:val="333333"/>
          <w:sz w:val="22"/>
          <w:szCs w:val="22"/>
          <w:lang w:val="nl-NL" w:eastAsia="nl-BE"/>
        </w:rPr>
        <w:t xml:space="preserve"> investeringsbedrag van de investerende exploitatievennootschap de voorbije 3 ja</w:t>
      </w:r>
      <w:r>
        <w:rPr>
          <w:rFonts w:ascii="Times New Roman" w:hAnsi="Times New Roman"/>
          <w:color w:val="333333"/>
          <w:sz w:val="22"/>
          <w:szCs w:val="22"/>
          <w:lang w:val="nl-NL" w:eastAsia="nl-BE"/>
        </w:rPr>
        <w:t>ar</w:t>
      </w:r>
      <w:r w:rsidRPr="00E01689">
        <w:rPr>
          <w:rFonts w:ascii="Times New Roman" w:hAnsi="Times New Roman"/>
          <w:color w:val="333333"/>
          <w:sz w:val="22"/>
          <w:szCs w:val="22"/>
          <w:lang w:val="nl-NL" w:eastAsia="nl-BE"/>
        </w:rPr>
        <w:t xml:space="preserve"> gedaald van 51.467 EUR in 2008 over 47.409 EUR in 2009 tot 46.525 EUR in 2010.</w:t>
      </w:r>
    </w:p>
    <w:p w:rsidR="00D408E3" w:rsidRPr="00E01689" w:rsidRDefault="00D408E3" w:rsidP="00E01689">
      <w:pPr>
        <w:jc w:val="both"/>
        <w:rPr>
          <w:rFonts w:ascii="Times New Roman" w:hAnsi="Times New Roman"/>
          <w:color w:val="333333"/>
          <w:sz w:val="22"/>
          <w:szCs w:val="22"/>
          <w:lang w:val="nl-NL" w:eastAsia="nl-BE"/>
        </w:rPr>
      </w:pPr>
    </w:p>
    <w:p w:rsidR="00D408E3" w:rsidRDefault="00D408E3" w:rsidP="00E01689">
      <w:pPr>
        <w:jc w:val="both"/>
        <w:rPr>
          <w:rFonts w:ascii="Times New Roman" w:hAnsi="Times New Roman"/>
          <w:color w:val="333333"/>
          <w:sz w:val="22"/>
          <w:szCs w:val="22"/>
          <w:lang w:val="nl-NL" w:eastAsia="nl-BE"/>
        </w:rPr>
      </w:pPr>
      <w:r w:rsidRPr="00E01689">
        <w:rPr>
          <w:rFonts w:ascii="Times New Roman" w:hAnsi="Times New Roman"/>
          <w:color w:val="333333"/>
          <w:sz w:val="22"/>
          <w:szCs w:val="22"/>
          <w:lang w:val="nl-NL" w:eastAsia="nl-BE"/>
        </w:rPr>
        <w:t>Het zijn voornamelijk de jongere ondernemingen die voorzichtigheidshalve investeringen uitgesteld hebben. Het omgekeerde geldt voor de ondernemingen ouder dan 25 jaar, die hun investeringsbudget de voorbije jaren geleidelijk opgetrokken hebben van gemiddeld 72.289 EUR in 2008 tot 82.544 EUR in 2010.</w:t>
      </w:r>
    </w:p>
    <w:p w:rsidR="00D408E3" w:rsidRPr="00E01689" w:rsidRDefault="00D408E3" w:rsidP="00E01689">
      <w:pPr>
        <w:jc w:val="both"/>
        <w:rPr>
          <w:rFonts w:ascii="Times New Roman" w:hAnsi="Times New Roman"/>
          <w:color w:val="333333"/>
          <w:sz w:val="22"/>
          <w:szCs w:val="22"/>
          <w:lang w:val="nl-NL" w:eastAsia="nl-BE"/>
        </w:rPr>
      </w:pPr>
    </w:p>
    <w:p w:rsidR="00D408E3" w:rsidRPr="00FE603F" w:rsidRDefault="00D408E3" w:rsidP="00E01689">
      <w:pPr>
        <w:rPr>
          <w:rFonts w:ascii="Times New Roman" w:hAnsi="Times New Roman"/>
          <w:b/>
          <w:color w:val="002060"/>
          <w:sz w:val="22"/>
          <w:szCs w:val="24"/>
          <w:lang w:val="nl-NL"/>
        </w:rPr>
      </w:pPr>
      <w:r>
        <w:rPr>
          <w:rFonts w:ascii="Times New Roman" w:hAnsi="Times New Roman"/>
          <w:b/>
          <w:color w:val="002060"/>
          <w:sz w:val="22"/>
          <w:szCs w:val="24"/>
          <w:lang w:val="nl-NL"/>
        </w:rPr>
        <w:t>70% van de winstgevende kmo</w:t>
      </w:r>
      <w:r w:rsidRPr="00FE603F">
        <w:rPr>
          <w:rFonts w:ascii="Times New Roman" w:hAnsi="Times New Roman"/>
          <w:b/>
          <w:color w:val="002060"/>
          <w:sz w:val="22"/>
          <w:szCs w:val="24"/>
          <w:lang w:val="nl-NL"/>
        </w:rPr>
        <w:t>’s reserveert alle winsten</w:t>
      </w:r>
      <w:r>
        <w:rPr>
          <w:rFonts w:ascii="Times New Roman" w:hAnsi="Times New Roman"/>
          <w:b/>
          <w:color w:val="002060"/>
          <w:sz w:val="22"/>
          <w:szCs w:val="24"/>
          <w:lang w:val="nl-NL"/>
        </w:rPr>
        <w:t xml:space="preserve"> en versterkt</w:t>
      </w:r>
      <w:r w:rsidRPr="00FE603F">
        <w:rPr>
          <w:rFonts w:ascii="Times New Roman" w:hAnsi="Times New Roman"/>
          <w:b/>
          <w:color w:val="002060"/>
          <w:sz w:val="22"/>
          <w:szCs w:val="24"/>
          <w:lang w:val="nl-NL"/>
        </w:rPr>
        <w:t xml:space="preserve"> </w:t>
      </w:r>
      <w:r>
        <w:rPr>
          <w:rFonts w:ascii="Times New Roman" w:hAnsi="Times New Roman"/>
          <w:b/>
          <w:color w:val="002060"/>
          <w:sz w:val="22"/>
          <w:szCs w:val="24"/>
          <w:lang w:val="nl-NL"/>
        </w:rPr>
        <w:t>het</w:t>
      </w:r>
      <w:r w:rsidRPr="00FE603F">
        <w:rPr>
          <w:rFonts w:ascii="Times New Roman" w:hAnsi="Times New Roman"/>
          <w:b/>
          <w:color w:val="002060"/>
          <w:sz w:val="22"/>
          <w:szCs w:val="24"/>
          <w:lang w:val="nl-NL"/>
        </w:rPr>
        <w:t xml:space="preserve"> eigen vermogen</w:t>
      </w:r>
      <w:r>
        <w:rPr>
          <w:rFonts w:ascii="Times New Roman" w:hAnsi="Times New Roman"/>
          <w:b/>
          <w:color w:val="002060"/>
          <w:sz w:val="22"/>
          <w:szCs w:val="24"/>
          <w:lang w:val="nl-NL"/>
        </w:rPr>
        <w:t xml:space="preserve"> verder</w:t>
      </w:r>
    </w:p>
    <w:p w:rsidR="00D408E3" w:rsidRDefault="00D408E3" w:rsidP="00E01689">
      <w:pPr>
        <w:rPr>
          <w:rFonts w:ascii="Times New Roman" w:hAnsi="Times New Roman"/>
          <w:b/>
          <w:color w:val="002060"/>
          <w:sz w:val="28"/>
          <w:szCs w:val="24"/>
          <w:lang w:val="nl-NL"/>
        </w:rPr>
      </w:pPr>
    </w:p>
    <w:p w:rsidR="00D408E3" w:rsidRDefault="00D408E3" w:rsidP="00E01689">
      <w:pPr>
        <w:rPr>
          <w:rFonts w:ascii="Times New Roman" w:hAnsi="Times New Roman"/>
          <w:color w:val="333333"/>
          <w:sz w:val="22"/>
          <w:szCs w:val="22"/>
          <w:lang w:val="nl-NL" w:eastAsia="nl-BE"/>
        </w:rPr>
      </w:pPr>
      <w:r w:rsidRPr="00165ADC">
        <w:rPr>
          <w:rFonts w:ascii="Times New Roman" w:hAnsi="Times New Roman"/>
          <w:color w:val="333333"/>
          <w:sz w:val="22"/>
          <w:szCs w:val="22"/>
          <w:lang w:val="nl-NL" w:eastAsia="nl-BE"/>
        </w:rPr>
        <w:t xml:space="preserve">In 2010 </w:t>
      </w:r>
      <w:r>
        <w:rPr>
          <w:rFonts w:ascii="Times New Roman" w:hAnsi="Times New Roman"/>
          <w:color w:val="333333"/>
          <w:sz w:val="22"/>
          <w:szCs w:val="22"/>
          <w:lang w:val="nl-NL" w:eastAsia="nl-BE"/>
        </w:rPr>
        <w:t>heeft</w:t>
      </w:r>
      <w:r w:rsidRPr="00165ADC">
        <w:rPr>
          <w:rFonts w:ascii="Times New Roman" w:hAnsi="Times New Roman"/>
          <w:color w:val="333333"/>
          <w:sz w:val="22"/>
          <w:szCs w:val="22"/>
          <w:lang w:val="nl-NL" w:eastAsia="nl-BE"/>
        </w:rPr>
        <w:t xml:space="preserve"> drie op de tien ondernemingen een gedeelte van de winst uit</w:t>
      </w:r>
      <w:r>
        <w:rPr>
          <w:rFonts w:ascii="Times New Roman" w:hAnsi="Times New Roman"/>
          <w:color w:val="333333"/>
          <w:sz w:val="22"/>
          <w:szCs w:val="22"/>
          <w:lang w:val="nl-NL" w:eastAsia="nl-BE"/>
        </w:rPr>
        <w:t>gekeerd</w:t>
      </w:r>
      <w:r w:rsidRPr="00165ADC">
        <w:rPr>
          <w:rFonts w:ascii="Times New Roman" w:hAnsi="Times New Roman"/>
          <w:color w:val="333333"/>
          <w:sz w:val="22"/>
          <w:szCs w:val="22"/>
          <w:lang w:val="nl-NL" w:eastAsia="nl-BE"/>
        </w:rPr>
        <w:t xml:space="preserve"> aan </w:t>
      </w:r>
      <w:r>
        <w:rPr>
          <w:rFonts w:ascii="Times New Roman" w:hAnsi="Times New Roman"/>
          <w:color w:val="333333"/>
          <w:sz w:val="22"/>
          <w:szCs w:val="22"/>
          <w:lang w:val="nl-NL" w:eastAsia="nl-BE"/>
        </w:rPr>
        <w:t>de</w:t>
      </w:r>
      <w:r w:rsidRPr="00165ADC">
        <w:rPr>
          <w:rFonts w:ascii="Times New Roman" w:hAnsi="Times New Roman"/>
          <w:color w:val="333333"/>
          <w:sz w:val="22"/>
          <w:szCs w:val="22"/>
          <w:lang w:val="nl-NL" w:eastAsia="nl-BE"/>
        </w:rPr>
        <w:t xml:space="preserve"> aandeelhouders en/of bedrijfsleiders.</w:t>
      </w:r>
      <w:r>
        <w:rPr>
          <w:rFonts w:ascii="Times New Roman" w:hAnsi="Times New Roman"/>
          <w:color w:val="333333"/>
          <w:sz w:val="22"/>
          <w:szCs w:val="22"/>
          <w:lang w:val="nl-NL" w:eastAsia="nl-BE"/>
        </w:rPr>
        <w:t xml:space="preserve"> 70% van de winstgevende Belgische kmo’s heeft dus alle winsten binnen de vennootschap gereserveerd om zo het eigen vermogen te versterken.</w:t>
      </w:r>
    </w:p>
    <w:p w:rsidR="00D408E3" w:rsidRDefault="00D408E3" w:rsidP="00E01689">
      <w:pPr>
        <w:rPr>
          <w:rFonts w:ascii="Times New Roman" w:hAnsi="Times New Roman"/>
          <w:color w:val="333333"/>
          <w:sz w:val="22"/>
          <w:szCs w:val="22"/>
          <w:lang w:val="nl-NL" w:eastAsia="nl-BE"/>
        </w:rPr>
      </w:pPr>
    </w:p>
    <w:p w:rsidR="00D408E3" w:rsidRPr="00165ADC" w:rsidRDefault="00D408E3" w:rsidP="00E01689">
      <w:pPr>
        <w:rPr>
          <w:rFonts w:ascii="Times New Roman" w:hAnsi="Times New Roman"/>
          <w:color w:val="333333"/>
          <w:sz w:val="22"/>
          <w:szCs w:val="22"/>
          <w:lang w:val="nl-NL" w:eastAsia="nl-BE"/>
        </w:rPr>
      </w:pPr>
      <w:r>
        <w:rPr>
          <w:noProof/>
          <w:lang w:val="en-US" w:eastAsia="en-US"/>
        </w:rPr>
        <w:pict>
          <v:shape id="Picture 4" o:spid="_x0000_s1031" type="#_x0000_t75" style="position:absolute;margin-left:0;margin-top:5.1pt;width:199.2pt;height:198pt;z-index:251660288;visibility:visible">
            <v:imagedata r:id="rId10" o:title=""/>
            <w10:wrap type="square"/>
          </v:shape>
        </w:pict>
      </w:r>
      <w:r>
        <w:rPr>
          <w:rFonts w:ascii="Times New Roman" w:hAnsi="Times New Roman"/>
          <w:color w:val="333333"/>
          <w:sz w:val="22"/>
          <w:szCs w:val="22"/>
          <w:lang w:val="nl-NL" w:eastAsia="nl-BE"/>
        </w:rPr>
        <w:t>Mede door het massaal reserveren van de winsten, heeft het reëel eigen vermogen – dit is het eigen vermogen verhoogd met het bijna-eigen vermogen, zijnde de achtergestelde leningen en rekeningen-courant van aandeelhouders en bestuurders – de voorbije 3 jaar ongeveer stand gehouden. Eind 2009 noteerde de gemiddelde exploitatie-vennootschap een reëel eigen vermogen van 49,3% ten opzichte van 47,2% eind 2007. In 2010 heeft de doorsnee-kmo deze reserves enigszins moeten aanspreken, waardoor het reëel eigen vermogen minimaal gedaald is tot 48,9%.</w:t>
      </w:r>
    </w:p>
    <w:p w:rsidR="00D408E3" w:rsidRPr="00265F20" w:rsidRDefault="00D408E3" w:rsidP="007D48C1">
      <w:pPr>
        <w:rPr>
          <w:rFonts w:ascii="Times New Roman" w:hAnsi="Times New Roman"/>
          <w:color w:val="333333"/>
          <w:sz w:val="22"/>
          <w:szCs w:val="22"/>
          <w:lang w:val="nl-NL" w:eastAsia="nl-BE"/>
        </w:rPr>
      </w:pPr>
    </w:p>
    <w:p w:rsidR="00D408E3" w:rsidRPr="00FD7059" w:rsidRDefault="00D408E3" w:rsidP="00ED5E8F">
      <w:pPr>
        <w:rPr>
          <w:rFonts w:ascii="Times New Roman" w:hAnsi="Times New Roman"/>
          <w:b/>
          <w:color w:val="002060"/>
          <w:sz w:val="22"/>
          <w:szCs w:val="24"/>
          <w:lang w:val="nl-NL"/>
        </w:rPr>
      </w:pPr>
      <w:r w:rsidRPr="00FD7059">
        <w:rPr>
          <w:rFonts w:ascii="Times New Roman" w:hAnsi="Times New Roman"/>
          <w:b/>
          <w:color w:val="002060"/>
          <w:sz w:val="22"/>
          <w:szCs w:val="24"/>
          <w:lang w:val="nl-NL"/>
        </w:rPr>
        <w:t>De voorbije 3 jaar heeft 55% van de bedri</w:t>
      </w:r>
      <w:r>
        <w:rPr>
          <w:rFonts w:ascii="Times New Roman" w:hAnsi="Times New Roman"/>
          <w:b/>
          <w:color w:val="002060"/>
          <w:sz w:val="22"/>
          <w:szCs w:val="24"/>
          <w:lang w:val="nl-NL"/>
        </w:rPr>
        <w:t>jfsleiders de waarde van hun kmo</w:t>
      </w:r>
      <w:r w:rsidRPr="00FD7059">
        <w:rPr>
          <w:rFonts w:ascii="Times New Roman" w:hAnsi="Times New Roman"/>
          <w:b/>
          <w:color w:val="002060"/>
          <w:sz w:val="22"/>
          <w:szCs w:val="24"/>
          <w:lang w:val="nl-NL"/>
        </w:rPr>
        <w:t xml:space="preserve"> zien dalen, maar duidelijk herstel in 2010</w:t>
      </w:r>
    </w:p>
    <w:p w:rsidR="00D408E3" w:rsidRPr="00ED5E8F" w:rsidRDefault="00D408E3" w:rsidP="007D48C1">
      <w:pPr>
        <w:rPr>
          <w:rFonts w:ascii="Times New Roman" w:hAnsi="Times New Roman"/>
          <w:color w:val="333333"/>
          <w:sz w:val="22"/>
          <w:szCs w:val="22"/>
          <w:lang w:val="nl-NL" w:eastAsia="nl-BE"/>
        </w:rPr>
      </w:pPr>
    </w:p>
    <w:p w:rsidR="00D408E3" w:rsidRDefault="00D408E3" w:rsidP="00ED5E8F">
      <w:pPr>
        <w:rPr>
          <w:rFonts w:ascii="Times New Roman" w:hAnsi="Times New Roman"/>
          <w:color w:val="333333"/>
          <w:sz w:val="22"/>
          <w:szCs w:val="22"/>
          <w:lang w:val="nl-NL" w:eastAsia="nl-BE"/>
        </w:rPr>
      </w:pPr>
      <w:r w:rsidRPr="00ED5E8F">
        <w:rPr>
          <w:rFonts w:ascii="Times New Roman" w:hAnsi="Times New Roman"/>
          <w:color w:val="333333"/>
          <w:sz w:val="22"/>
          <w:szCs w:val="22"/>
          <w:lang w:val="nl-NL" w:eastAsia="nl-BE"/>
        </w:rPr>
        <w:t xml:space="preserve">De waarde van de doorsnee onderneming is de voorbije 3 jaar met 9% gedaald. De gemiddelde exploitatievennootschap zag haar waarde zelfs met 15% of meer krimpen. Een kwart van de </w:t>
      </w:r>
      <w:r>
        <w:rPr>
          <w:rFonts w:ascii="Times New Roman" w:hAnsi="Times New Roman"/>
          <w:color w:val="333333"/>
          <w:sz w:val="22"/>
          <w:szCs w:val="22"/>
          <w:lang w:val="nl-NL" w:eastAsia="nl-BE"/>
        </w:rPr>
        <w:t>kmo</w:t>
      </w:r>
      <w:r w:rsidRPr="00ED5E8F">
        <w:rPr>
          <w:rFonts w:ascii="Times New Roman" w:hAnsi="Times New Roman"/>
          <w:color w:val="333333"/>
          <w:sz w:val="22"/>
          <w:szCs w:val="22"/>
          <w:lang w:val="nl-NL" w:eastAsia="nl-BE"/>
        </w:rPr>
        <w:t>’s noteert bovendien een waardeverlies van minstens 64%.</w:t>
      </w:r>
    </w:p>
    <w:p w:rsidR="00D408E3" w:rsidRPr="00ED5E8F" w:rsidRDefault="00D408E3" w:rsidP="00ED5E8F">
      <w:pPr>
        <w:rPr>
          <w:rFonts w:ascii="Times New Roman" w:hAnsi="Times New Roman"/>
          <w:color w:val="333333"/>
          <w:sz w:val="22"/>
          <w:szCs w:val="22"/>
          <w:lang w:val="nl-NL" w:eastAsia="nl-BE"/>
        </w:rPr>
      </w:pPr>
    </w:p>
    <w:p w:rsidR="00D408E3" w:rsidRDefault="00D408E3" w:rsidP="000B013B">
      <w:pPr>
        <w:keepLines/>
        <w:rPr>
          <w:rFonts w:ascii="Times New Roman" w:hAnsi="Times New Roman"/>
          <w:color w:val="333333"/>
          <w:sz w:val="22"/>
          <w:szCs w:val="22"/>
          <w:lang w:val="nl-NL" w:eastAsia="nl-BE"/>
        </w:rPr>
      </w:pPr>
      <w:r w:rsidRPr="00ED5E8F">
        <w:rPr>
          <w:rFonts w:ascii="Times New Roman" w:hAnsi="Times New Roman"/>
          <w:i/>
          <w:color w:val="333333"/>
          <w:sz w:val="22"/>
          <w:szCs w:val="22"/>
          <w:lang w:val="nl-NL" w:eastAsia="nl-BE"/>
        </w:rPr>
        <w:t xml:space="preserve">“Toch duiden deze cijfers op een </w:t>
      </w:r>
      <w:r>
        <w:rPr>
          <w:rFonts w:ascii="Times New Roman" w:hAnsi="Times New Roman"/>
          <w:i/>
          <w:color w:val="333333"/>
          <w:sz w:val="22"/>
          <w:szCs w:val="22"/>
          <w:lang w:val="nl-NL" w:eastAsia="nl-BE"/>
        </w:rPr>
        <w:t xml:space="preserve">belangrijk </w:t>
      </w:r>
      <w:r w:rsidRPr="00ED5E8F">
        <w:rPr>
          <w:rFonts w:ascii="Times New Roman" w:hAnsi="Times New Roman"/>
          <w:i/>
          <w:color w:val="333333"/>
          <w:sz w:val="22"/>
          <w:szCs w:val="22"/>
          <w:lang w:val="nl-NL" w:eastAsia="nl-BE"/>
        </w:rPr>
        <w:t>waardeherstel. In 2009 was de helft van de ondernemingen immers nog geconfronteerd met een waardedaling van minstens 28%. Een kwart van de bedrijven noteerde toen zelfs een waardeverlies van 72% of meer.</w:t>
      </w:r>
      <w:r>
        <w:rPr>
          <w:rFonts w:ascii="Times New Roman" w:hAnsi="Times New Roman"/>
          <w:i/>
          <w:color w:val="333333"/>
          <w:sz w:val="22"/>
          <w:szCs w:val="22"/>
          <w:lang w:val="nl-NL" w:eastAsia="nl-BE"/>
        </w:rPr>
        <w:t xml:space="preserve"> De M&amp;A-markt draait dan ook weer op volle toeren, hopelijk gooit een nieuwe crisis geen roet in het eten, want nogal wat familiale ondernemingen staan voor een strategische generatiewissel</w:t>
      </w:r>
      <w:r w:rsidRPr="00ED5E8F">
        <w:rPr>
          <w:rFonts w:ascii="Times New Roman" w:hAnsi="Times New Roman"/>
          <w:i/>
          <w:color w:val="333333"/>
          <w:sz w:val="22"/>
          <w:szCs w:val="22"/>
          <w:lang w:val="nl-NL" w:eastAsia="nl-BE"/>
        </w:rPr>
        <w:t>”</w:t>
      </w:r>
      <w:r>
        <w:rPr>
          <w:rFonts w:ascii="Times New Roman" w:hAnsi="Times New Roman"/>
          <w:color w:val="333333"/>
          <w:sz w:val="22"/>
          <w:szCs w:val="22"/>
          <w:lang w:val="nl-NL" w:eastAsia="nl-BE"/>
        </w:rPr>
        <w:t xml:space="preserve"> stelt Nikolaas Tahon.</w:t>
      </w:r>
      <w:r w:rsidRPr="00ED5E8F">
        <w:rPr>
          <w:rFonts w:ascii="Times New Roman" w:hAnsi="Times New Roman"/>
          <w:color w:val="333333"/>
          <w:sz w:val="22"/>
          <w:szCs w:val="22"/>
          <w:lang w:val="nl-NL" w:eastAsia="nl-BE"/>
        </w:rPr>
        <w:t xml:space="preserve"> </w:t>
      </w:r>
    </w:p>
    <w:p w:rsidR="00D408E3" w:rsidRPr="00ED5E8F" w:rsidRDefault="00D408E3" w:rsidP="00ED5E8F">
      <w:pPr>
        <w:rPr>
          <w:rFonts w:ascii="Times New Roman" w:hAnsi="Times New Roman"/>
          <w:color w:val="333333"/>
          <w:sz w:val="22"/>
          <w:szCs w:val="22"/>
          <w:lang w:val="nl-NL" w:eastAsia="nl-BE"/>
        </w:rPr>
      </w:pPr>
    </w:p>
    <w:p w:rsidR="00D408E3" w:rsidRPr="00ED5E8F" w:rsidRDefault="00D408E3" w:rsidP="00ED5E8F">
      <w:pPr>
        <w:rPr>
          <w:rFonts w:ascii="Times New Roman" w:hAnsi="Times New Roman"/>
          <w:color w:val="333333"/>
          <w:sz w:val="22"/>
          <w:szCs w:val="22"/>
          <w:lang w:val="nl-NL" w:eastAsia="nl-BE"/>
        </w:rPr>
      </w:pPr>
      <w:r w:rsidRPr="00ED5E8F">
        <w:rPr>
          <w:rFonts w:ascii="Times New Roman" w:hAnsi="Times New Roman"/>
          <w:color w:val="333333"/>
          <w:sz w:val="22"/>
          <w:szCs w:val="22"/>
          <w:lang w:val="nl-NL" w:eastAsia="nl-BE"/>
        </w:rPr>
        <w:t xml:space="preserve">De industriële ondernemingen zijn het hardst getroffen. De helft van deze ondernemingen noteerde de voorbije 3 jaar een waardeverlies van 27%. Ook de bouw en de handel hebben zware klappen gekregen. De mediaanonderneming boekt hier respectievelijk een waardeverlies van 17% en 16%. De doorsnee </w:t>
      </w:r>
      <w:r>
        <w:rPr>
          <w:rFonts w:ascii="Times New Roman" w:hAnsi="Times New Roman"/>
          <w:color w:val="333333"/>
          <w:sz w:val="22"/>
          <w:szCs w:val="22"/>
          <w:lang w:val="nl-NL" w:eastAsia="nl-BE"/>
        </w:rPr>
        <w:t>kmo</w:t>
      </w:r>
      <w:r w:rsidRPr="00ED5E8F">
        <w:rPr>
          <w:rFonts w:ascii="Times New Roman" w:hAnsi="Times New Roman"/>
          <w:color w:val="333333"/>
          <w:sz w:val="22"/>
          <w:szCs w:val="22"/>
          <w:lang w:val="nl-NL" w:eastAsia="nl-BE"/>
        </w:rPr>
        <w:t xml:space="preserve"> binnen de dienstensector wist haar waardeverlies te beperken tot “maar” 9%. Enkel binnen de voeding &amp; landbouw zag de doorsnee</w:t>
      </w:r>
      <w:r>
        <w:rPr>
          <w:rFonts w:ascii="Times New Roman" w:hAnsi="Times New Roman"/>
          <w:color w:val="333333"/>
          <w:sz w:val="22"/>
          <w:szCs w:val="22"/>
          <w:lang w:val="nl-NL" w:eastAsia="nl-BE"/>
        </w:rPr>
        <w:t>-kmo</w:t>
      </w:r>
      <w:r w:rsidRPr="00ED5E8F">
        <w:rPr>
          <w:rFonts w:ascii="Times New Roman" w:hAnsi="Times New Roman"/>
          <w:color w:val="333333"/>
          <w:sz w:val="22"/>
          <w:szCs w:val="22"/>
          <w:lang w:val="nl-NL" w:eastAsia="nl-BE"/>
        </w:rPr>
        <w:t xml:space="preserve"> haar waarde in drie jaar tijd stijgen met 16%.</w:t>
      </w:r>
    </w:p>
    <w:p w:rsidR="00D408E3" w:rsidRDefault="00D408E3" w:rsidP="00ED5E8F">
      <w:pPr>
        <w:rPr>
          <w:rFonts w:ascii="Times New Roman" w:hAnsi="Times New Roman"/>
          <w:color w:val="333333"/>
          <w:sz w:val="22"/>
          <w:szCs w:val="22"/>
          <w:lang w:val="nl-NL" w:eastAsia="nl-BE"/>
        </w:rPr>
      </w:pPr>
    </w:p>
    <w:p w:rsidR="00D408E3" w:rsidRPr="00ED5E8F" w:rsidRDefault="00D408E3" w:rsidP="00ED5E8F">
      <w:pPr>
        <w:rPr>
          <w:rFonts w:ascii="Times New Roman" w:hAnsi="Times New Roman"/>
          <w:color w:val="333333"/>
          <w:sz w:val="22"/>
          <w:szCs w:val="22"/>
          <w:lang w:val="nl-NL" w:eastAsia="nl-BE"/>
        </w:rPr>
      </w:pPr>
      <w:r w:rsidRPr="00ED5E8F">
        <w:rPr>
          <w:rFonts w:ascii="Times New Roman" w:hAnsi="Times New Roman"/>
          <w:color w:val="333333"/>
          <w:sz w:val="22"/>
          <w:szCs w:val="22"/>
          <w:lang w:val="nl-NL" w:eastAsia="nl-BE"/>
        </w:rPr>
        <w:t>De impact van de crisis op de waarde van oudere ondernemingen is aanzienlijk groter dan bij jongere ondernemingen. Eind 2010 noteren de ondernemingen ouder dan 25 jaar een waardeverlies van gemiddeld 21%. Bij de doorsnee</w:t>
      </w:r>
      <w:r>
        <w:rPr>
          <w:rFonts w:ascii="Times New Roman" w:hAnsi="Times New Roman"/>
          <w:color w:val="333333"/>
          <w:sz w:val="22"/>
          <w:szCs w:val="22"/>
          <w:lang w:val="nl-NL" w:eastAsia="nl-BE"/>
        </w:rPr>
        <w:t>-kmo</w:t>
      </w:r>
      <w:r w:rsidRPr="00ED5E8F">
        <w:rPr>
          <w:rFonts w:ascii="Times New Roman" w:hAnsi="Times New Roman"/>
          <w:color w:val="333333"/>
          <w:sz w:val="22"/>
          <w:szCs w:val="22"/>
          <w:lang w:val="nl-NL" w:eastAsia="nl-BE"/>
        </w:rPr>
        <w:t xml:space="preserve"> jonger dan 10 jaar is het waardeverlies beperkt tot 9%.</w:t>
      </w:r>
    </w:p>
    <w:p w:rsidR="00D408E3" w:rsidRPr="00E01689" w:rsidRDefault="00D408E3" w:rsidP="007D48C1">
      <w:pPr>
        <w:rPr>
          <w:rFonts w:ascii="Times New Roman" w:hAnsi="Times New Roman"/>
          <w:color w:val="333333"/>
          <w:sz w:val="22"/>
          <w:szCs w:val="22"/>
          <w:lang w:val="nl-BE" w:eastAsia="nl-BE"/>
        </w:rPr>
      </w:pPr>
    </w:p>
    <w:p w:rsidR="00D408E3" w:rsidRPr="00567C79" w:rsidRDefault="00D408E3" w:rsidP="003A2862">
      <w:pPr>
        <w:tabs>
          <w:tab w:val="clear" w:pos="284"/>
          <w:tab w:val="clear" w:pos="567"/>
          <w:tab w:val="clear" w:pos="851"/>
          <w:tab w:val="clear" w:pos="1985"/>
          <w:tab w:val="clear" w:pos="3119"/>
          <w:tab w:val="clear" w:pos="4253"/>
          <w:tab w:val="clear" w:pos="7655"/>
        </w:tabs>
        <w:rPr>
          <w:rFonts w:ascii="Times New Roman" w:hAnsi="Times New Roman"/>
          <w:lang w:val="nl-NL"/>
        </w:rPr>
      </w:pPr>
    </w:p>
    <w:p w:rsidR="00D408E3" w:rsidRPr="00C3184E" w:rsidRDefault="00D408E3" w:rsidP="003A2862">
      <w:pPr>
        <w:autoSpaceDE w:val="0"/>
        <w:autoSpaceDN w:val="0"/>
        <w:adjustRightInd w:val="0"/>
        <w:jc w:val="center"/>
        <w:rPr>
          <w:rFonts w:ascii="Times New Roman" w:hAnsi="Times New Roman"/>
          <w:lang w:val="nl-NL"/>
        </w:rPr>
      </w:pPr>
      <w:r w:rsidRPr="00C3184E">
        <w:rPr>
          <w:rFonts w:ascii="Times New Roman" w:hAnsi="Times New Roman"/>
          <w:lang w:val="nl-NL"/>
        </w:rPr>
        <w:t>###</w:t>
      </w:r>
    </w:p>
    <w:p w:rsidR="00D408E3" w:rsidRDefault="00D408E3" w:rsidP="00C3184E">
      <w:pPr>
        <w:rPr>
          <w:rFonts w:ascii="Times New Roman" w:hAnsi="Times New Roman"/>
          <w:color w:val="333333"/>
          <w:sz w:val="22"/>
          <w:szCs w:val="22"/>
          <w:lang w:val="nl-NL" w:eastAsia="nl-BE"/>
        </w:rPr>
      </w:pPr>
    </w:p>
    <w:p w:rsidR="00D408E3" w:rsidRPr="001262B8" w:rsidRDefault="00D408E3" w:rsidP="00C3184E">
      <w:pPr>
        <w:rPr>
          <w:rFonts w:ascii="Times New Roman" w:hAnsi="Times New Roman"/>
          <w:color w:val="333333"/>
          <w:szCs w:val="22"/>
          <w:lang w:val="nl-NL" w:eastAsia="nl-BE"/>
        </w:rPr>
      </w:pPr>
      <w:r w:rsidRPr="001262B8">
        <w:rPr>
          <w:rFonts w:ascii="Times New Roman" w:hAnsi="Times New Roman"/>
          <w:color w:val="333333"/>
          <w:szCs w:val="22"/>
          <w:lang w:val="nl-NL" w:eastAsia="nl-BE"/>
        </w:rPr>
        <w:t xml:space="preserve">Bedrijfsleiders die de financiële performantie van hun onderneming gedetailleerd in kaart wensen te brengen, kunnen vanaf vandaag een benchmark van hun bedrijf – “Het </w:t>
      </w:r>
      <w:r>
        <w:rPr>
          <w:rFonts w:ascii="Times New Roman" w:hAnsi="Times New Roman"/>
          <w:color w:val="333333"/>
          <w:szCs w:val="22"/>
          <w:lang w:val="nl-NL" w:eastAsia="nl-BE"/>
        </w:rPr>
        <w:t>KMO Kompas</w:t>
      </w:r>
      <w:r w:rsidRPr="001262B8">
        <w:rPr>
          <w:rFonts w:ascii="Times New Roman" w:hAnsi="Times New Roman"/>
          <w:color w:val="333333"/>
          <w:szCs w:val="22"/>
          <w:lang w:val="nl-NL" w:eastAsia="nl-BE"/>
        </w:rPr>
        <w:t xml:space="preserve"> van uw onderneming” laten opstellen. Dit kan door contact op te nemen met het Deloitte Fiduciaire kantoor in hun regio of via </w:t>
      </w:r>
      <w:hyperlink r:id="rId11" w:history="1">
        <w:r w:rsidRPr="00D32B5F">
          <w:rPr>
            <w:rStyle w:val="Hyperlink"/>
            <w:rFonts w:ascii="Times New Roman" w:hAnsi="Times New Roman"/>
            <w:szCs w:val="22"/>
            <w:lang w:val="nl-NL" w:eastAsia="nl-BE"/>
          </w:rPr>
          <w:t>www.kmokompas.be</w:t>
        </w:r>
      </w:hyperlink>
      <w:r w:rsidRPr="001262B8">
        <w:rPr>
          <w:rFonts w:ascii="Times New Roman" w:hAnsi="Times New Roman"/>
          <w:color w:val="333333"/>
          <w:szCs w:val="22"/>
          <w:lang w:val="nl-NL" w:eastAsia="nl-BE"/>
        </w:rPr>
        <w:t xml:space="preserve">. </w:t>
      </w:r>
    </w:p>
    <w:p w:rsidR="00D408E3" w:rsidRPr="00005D4C" w:rsidRDefault="00D408E3" w:rsidP="00005D4C">
      <w:pPr>
        <w:rPr>
          <w:rFonts w:ascii="Times New Roman" w:hAnsi="Times New Roman"/>
          <w:lang w:val="nl-NL" w:eastAsia="en-US"/>
        </w:rPr>
      </w:pPr>
    </w:p>
    <w:p w:rsidR="00D408E3" w:rsidRPr="004C27EC" w:rsidRDefault="00D408E3" w:rsidP="004C27EC">
      <w:pPr>
        <w:rPr>
          <w:rFonts w:ascii="Times New Roman" w:hAnsi="Times New Roman"/>
          <w:b/>
          <w:color w:val="333333"/>
          <w:szCs w:val="22"/>
          <w:lang w:val="nl-NL" w:eastAsia="nl-BE"/>
        </w:rPr>
      </w:pPr>
      <w:r w:rsidRPr="004C27EC">
        <w:rPr>
          <w:rFonts w:ascii="Times New Roman" w:hAnsi="Times New Roman"/>
          <w:b/>
          <w:color w:val="333333"/>
          <w:szCs w:val="22"/>
          <w:lang w:val="nl-NL" w:eastAsia="nl-BE"/>
        </w:rPr>
        <w:t>Over Deloitte Fiduciaire</w:t>
      </w:r>
    </w:p>
    <w:p w:rsidR="00D408E3" w:rsidRPr="004C27EC" w:rsidRDefault="00D408E3" w:rsidP="004C27EC">
      <w:pPr>
        <w:rPr>
          <w:rFonts w:ascii="Times New Roman" w:hAnsi="Times New Roman"/>
          <w:color w:val="333333"/>
          <w:szCs w:val="22"/>
          <w:lang w:val="nl-NL" w:eastAsia="nl-BE"/>
        </w:rPr>
      </w:pPr>
    </w:p>
    <w:p w:rsidR="00D408E3" w:rsidRPr="004C27EC" w:rsidRDefault="00D408E3" w:rsidP="004C27EC">
      <w:pPr>
        <w:rPr>
          <w:rFonts w:ascii="Times New Roman" w:hAnsi="Times New Roman"/>
          <w:color w:val="333333"/>
          <w:szCs w:val="22"/>
          <w:lang w:val="nl-NL" w:eastAsia="nl-BE"/>
        </w:rPr>
      </w:pPr>
      <w:r w:rsidRPr="004C27EC">
        <w:rPr>
          <w:rFonts w:ascii="Times New Roman" w:hAnsi="Times New Roman"/>
          <w:color w:val="333333"/>
          <w:szCs w:val="22"/>
          <w:lang w:val="nl-NL" w:eastAsia="nl-BE"/>
        </w:rPr>
        <w:t xml:space="preserve">Deloitte Fiduciaire maakt deel uit van Deloitte België.  Deloitte Fiduciaire is de Belgische marktleider op het vlak van accountancy-advies en een waaier van multidisciplinaire diensten voor </w:t>
      </w:r>
      <w:r>
        <w:rPr>
          <w:rFonts w:ascii="Times New Roman" w:hAnsi="Times New Roman"/>
          <w:color w:val="333333"/>
          <w:szCs w:val="22"/>
          <w:lang w:val="nl-NL" w:eastAsia="nl-BE"/>
        </w:rPr>
        <w:t>kmo</w:t>
      </w:r>
      <w:r w:rsidRPr="004C27EC">
        <w:rPr>
          <w:rFonts w:ascii="Times New Roman" w:hAnsi="Times New Roman"/>
          <w:color w:val="333333"/>
          <w:szCs w:val="22"/>
          <w:lang w:val="nl-NL" w:eastAsia="nl-BE"/>
        </w:rPr>
        <w:t xml:space="preserve">’s en familiebedrijven. Deloitte Fiduciaire verleent zijn diensten aan meer dan 5.000 </w:t>
      </w:r>
      <w:r>
        <w:rPr>
          <w:rFonts w:ascii="Times New Roman" w:hAnsi="Times New Roman"/>
          <w:color w:val="333333"/>
          <w:szCs w:val="22"/>
          <w:lang w:val="nl-NL" w:eastAsia="nl-BE"/>
        </w:rPr>
        <w:t>kmo</w:t>
      </w:r>
      <w:r w:rsidRPr="004C27EC">
        <w:rPr>
          <w:rFonts w:ascii="Times New Roman" w:hAnsi="Times New Roman"/>
          <w:color w:val="333333"/>
          <w:szCs w:val="22"/>
          <w:lang w:val="nl-NL" w:eastAsia="nl-BE"/>
        </w:rPr>
        <w:t xml:space="preserve">’s in België en kan bogen op 75 jaar ervaring in accountancy en fiscaal-juridisch advies. De firma kan terugvallen op een sterk regionaal netwerk, 10 kantoren in België en meer dan 400 multidisciplinaire accountants, fiscale en juridische consultants, en specialisten in M&amp;A, business reporting en IT. Zo heeft Deloitte Fiduciaire een uitvoerige </w:t>
      </w:r>
      <w:r>
        <w:rPr>
          <w:rFonts w:ascii="Times New Roman" w:hAnsi="Times New Roman"/>
          <w:color w:val="333333"/>
          <w:szCs w:val="22"/>
          <w:lang w:val="nl-NL" w:eastAsia="nl-BE"/>
        </w:rPr>
        <w:t>kmo</w:t>
      </w:r>
      <w:r w:rsidRPr="004C27EC">
        <w:rPr>
          <w:rFonts w:ascii="Times New Roman" w:hAnsi="Times New Roman"/>
          <w:color w:val="333333"/>
          <w:szCs w:val="22"/>
          <w:lang w:val="nl-NL" w:eastAsia="nl-BE"/>
        </w:rPr>
        <w:t xml:space="preserve">-knowhow opgebouwd die veel verder reikt dan de traditionele boekhouddiensten. Het team van Deloitte Fiduciaire staat niet alleen voor accountancy en voor fiscale en juridische dienstverlening, maar ook voor business- &amp; IT-begeleiding en voor financieel en M&amp;A-advies. </w:t>
      </w:r>
    </w:p>
    <w:p w:rsidR="00D408E3" w:rsidRPr="004C27EC" w:rsidRDefault="00D408E3" w:rsidP="004C27EC">
      <w:pPr>
        <w:rPr>
          <w:rFonts w:ascii="Times New Roman" w:hAnsi="Times New Roman"/>
          <w:color w:val="333333"/>
          <w:szCs w:val="22"/>
          <w:lang w:val="nl-NL" w:eastAsia="nl-BE"/>
        </w:rPr>
      </w:pPr>
    </w:p>
    <w:p w:rsidR="00D408E3" w:rsidRPr="004C27EC" w:rsidRDefault="00D408E3" w:rsidP="004C27EC">
      <w:pPr>
        <w:rPr>
          <w:rFonts w:ascii="Times New Roman" w:hAnsi="Times New Roman"/>
          <w:color w:val="333333"/>
          <w:szCs w:val="22"/>
          <w:lang w:val="nl-NL" w:eastAsia="nl-BE"/>
        </w:rPr>
      </w:pPr>
      <w:r w:rsidRPr="004C27EC">
        <w:rPr>
          <w:rFonts w:ascii="Times New Roman" w:hAnsi="Times New Roman"/>
          <w:color w:val="333333"/>
          <w:szCs w:val="22"/>
          <w:lang w:val="nl-NL" w:eastAsia="nl-BE"/>
        </w:rPr>
        <w:t xml:space="preserve">Tot de </w:t>
      </w:r>
      <w:r>
        <w:rPr>
          <w:rFonts w:ascii="Times New Roman" w:hAnsi="Times New Roman"/>
          <w:color w:val="333333"/>
          <w:szCs w:val="22"/>
          <w:lang w:val="nl-NL" w:eastAsia="nl-BE"/>
        </w:rPr>
        <w:t>kmo</w:t>
      </w:r>
      <w:r w:rsidRPr="004C27EC">
        <w:rPr>
          <w:rFonts w:ascii="Times New Roman" w:hAnsi="Times New Roman"/>
          <w:color w:val="333333"/>
          <w:szCs w:val="22"/>
          <w:lang w:val="nl-NL" w:eastAsia="nl-BE"/>
        </w:rPr>
        <w:t>’s die door Deloitte Fiduciaire worden bediend, behoren jonge starters, spin-offs van universiteiten en onderzoekscentra, groeiende en vernieuwende bedrijven, management- en vastgoedfirma’s, en volwassen familiale ondernemingen in heel het land, met een jaaromzet onder 50 miljoen euro.</w:t>
      </w:r>
    </w:p>
    <w:p w:rsidR="00D408E3" w:rsidRPr="004C27EC" w:rsidRDefault="00D408E3">
      <w:pPr>
        <w:spacing w:line="240" w:lineRule="auto"/>
        <w:rPr>
          <w:rFonts w:ascii="Times New Roman" w:hAnsi="Times New Roman"/>
          <w:iCs/>
          <w:sz w:val="18"/>
          <w:szCs w:val="18"/>
          <w:lang w:val="nl-NL" w:eastAsia="nl-BE"/>
        </w:rPr>
      </w:pPr>
    </w:p>
    <w:sectPr w:rsidR="00D408E3" w:rsidRPr="004C27EC" w:rsidSect="000B013B">
      <w:headerReference w:type="default" r:id="rId12"/>
      <w:headerReference w:type="first" r:id="rId13"/>
      <w:footerReference w:type="first" r:id="rId14"/>
      <w:pgSz w:w="11901" w:h="16840" w:code="9"/>
      <w:pgMar w:top="1843" w:right="1440" w:bottom="851" w:left="1440" w:header="851" w:footer="44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8E3" w:rsidRDefault="00D408E3" w:rsidP="008B32DF">
      <w:pPr>
        <w:pStyle w:val="Boldhead"/>
        <w:spacing w:line="240" w:lineRule="auto"/>
      </w:pPr>
      <w:r>
        <w:separator/>
      </w:r>
    </w:p>
  </w:endnote>
  <w:endnote w:type="continuationSeparator" w:id="0">
    <w:p w:rsidR="00D408E3" w:rsidRDefault="00D408E3" w:rsidP="008B32DF">
      <w:pPr>
        <w:pStyle w:val="Boldhead"/>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elvetica 65 Medium">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Courier New"/>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elvetica ExtraCompressed">
    <w:panose1 w:val="00000000000000000000"/>
    <w:charset w:val="00"/>
    <w:family w:val="auto"/>
    <w:notTrueType/>
    <w:pitch w:val="variable"/>
    <w:sig w:usb0="00000003" w:usb1="00000000" w:usb2="00000000" w:usb3="00000000" w:csb0="00000001" w:csb1="00000000"/>
  </w:font>
  <w:font w:name="Helvetica 46 LightItalic">
    <w:altName w:val="Times New Roman"/>
    <w:panose1 w:val="00000000000000000000"/>
    <w:charset w:val="00"/>
    <w:family w:val="auto"/>
    <w:notTrueType/>
    <w:pitch w:val="variable"/>
    <w:sig w:usb0="00000003" w:usb1="00000000" w:usb2="00000000" w:usb3="00000000" w:csb0="00000001" w:csb1="00000000"/>
  </w:font>
  <w:font w:name="HelveticaNeue LightCond">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Garamond3LTStd">
    <w:altName w:val="Helvetica 45 Light"/>
    <w:panose1 w:val="00000000000000000000"/>
    <w:charset w:val="4D"/>
    <w:family w:val="auto"/>
    <w:notTrueType/>
    <w:pitch w:val="default"/>
    <w:sig w:usb0="00000003" w:usb1="00000000" w:usb2="00000000" w:usb3="00000000" w:csb0="00000001" w:csb1="00000000"/>
  </w:font>
  <w:font w:name="FrutigerNextPro-Ligh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8E3" w:rsidRPr="005443B3" w:rsidRDefault="00D408E3" w:rsidP="008B32DF">
    <w:pPr>
      <w:pStyle w:val="Amember"/>
      <w:ind w:right="3679"/>
      <w:rPr>
        <w:rFonts w:ascii="Arial" w:hAnsi="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8E3" w:rsidRDefault="00D408E3" w:rsidP="008B32DF">
      <w:pPr>
        <w:pStyle w:val="Boldhead"/>
        <w:spacing w:line="240" w:lineRule="auto"/>
      </w:pPr>
      <w:r>
        <w:separator/>
      </w:r>
    </w:p>
  </w:footnote>
  <w:footnote w:type="continuationSeparator" w:id="0">
    <w:p w:rsidR="00D408E3" w:rsidRDefault="00D408E3" w:rsidP="008B32DF">
      <w:pPr>
        <w:pStyle w:val="Boldhead"/>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8E3" w:rsidRDefault="00D408E3" w:rsidP="008B32DF">
    <w:pPr>
      <w:pStyle w:val="Legalentity"/>
      <w:spacing w:after="140" w:line="240" w:lineRule="auto"/>
      <w:rPr>
        <w:sz w:val="18"/>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alt="DEL_PRI_GREY_MS" style="position:absolute;margin-left:0;margin-top:0;width:128.4pt;height:24pt;z-index:251656704;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8E3" w:rsidRDefault="00D408E3" w:rsidP="008B32DF">
    <w:pPr>
      <w:pStyle w:val="Legalentity"/>
      <w:spacing w:after="140" w:line="240" w:lineRule="auto"/>
      <w:ind w:left="7371"/>
      <w:rPr>
        <w:sz w:val="18"/>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alt="DEL_PRI_RGB_MS" style="position:absolute;left:0;text-align:left;margin-left:70.9pt;margin-top:42.55pt;width:128.4pt;height:24pt;z-index:251658752;visibility:visible;mso-position-horizontal-relative:page;mso-position-vertical-relative:page">
          <v:imagedata r:id="rId1" o:title=""/>
          <w10:wrap anchorx="page" anchory="page"/>
        </v:shape>
      </w:pict>
    </w:r>
  </w:p>
  <w:p w:rsidR="00D408E3" w:rsidRPr="006A0526" w:rsidRDefault="00D408E3" w:rsidP="000B391C">
    <w:pPr>
      <w:pStyle w:val="Legalentity"/>
      <w:spacing w:after="0" w:line="240" w:lineRule="auto"/>
      <w:ind w:left="7371"/>
      <w:rPr>
        <w:rFonts w:ascii="Arial" w:hAnsi="Arial"/>
        <w:color w:val="002776"/>
        <w:lang w:val="de-DE"/>
      </w:rPr>
    </w:pPr>
    <w:r w:rsidRPr="006A0526">
      <w:rPr>
        <w:rFonts w:ascii="Arial" w:hAnsi="Arial"/>
        <w:color w:val="002776"/>
        <w:lang w:val="de-DE"/>
      </w:rPr>
      <w:t>Deloitte</w:t>
    </w:r>
    <w:r w:rsidRPr="006A0526">
      <w:rPr>
        <w:rFonts w:ascii="Arial" w:hAnsi="Arial"/>
        <w:color w:val="002776"/>
        <w:lang w:val="de-DE"/>
      </w:rPr>
      <w:br/>
      <w:t>Berkenlaan 8B</w:t>
    </w:r>
    <w:r w:rsidRPr="006A0526">
      <w:rPr>
        <w:rFonts w:ascii="Arial" w:hAnsi="Arial"/>
        <w:color w:val="002776"/>
        <w:lang w:val="de-DE"/>
      </w:rPr>
      <w:br/>
      <w:t>1831 Diegem</w:t>
    </w:r>
    <w:r w:rsidRPr="006A0526">
      <w:rPr>
        <w:rFonts w:ascii="Arial" w:hAnsi="Arial"/>
        <w:color w:val="002776"/>
        <w:lang w:val="de-DE"/>
      </w:rPr>
      <w:br/>
      <w:t>Belgium</w:t>
    </w:r>
    <w:r w:rsidRPr="006A0526">
      <w:rPr>
        <w:rFonts w:ascii="Arial" w:hAnsi="Arial"/>
        <w:color w:val="002776"/>
        <w:lang w:val="de-DE"/>
      </w:rPr>
      <w:br/>
    </w:r>
  </w:p>
  <w:p w:rsidR="00D408E3" w:rsidRPr="006A0526" w:rsidRDefault="00D408E3" w:rsidP="000B391C">
    <w:pPr>
      <w:pStyle w:val="Legalentity"/>
      <w:spacing w:after="0" w:line="240" w:lineRule="auto"/>
      <w:ind w:left="7371"/>
      <w:rPr>
        <w:rFonts w:ascii="FrutigerNextPro-Light" w:hAnsi="FrutigerNextPro-Light"/>
        <w:color w:val="002776"/>
        <w:lang w:val="de-DE"/>
      </w:rPr>
    </w:pPr>
    <w:r>
      <w:rPr>
        <w:noProof/>
        <w:lang w:val="en-US" w:eastAsia="en-US"/>
      </w:rPr>
      <w:pict>
        <v:shapetype id="_x0000_t202" coordsize="21600,21600" o:spt="202" path="m,l,21600r21600,l21600,xe">
          <v:stroke joinstyle="miter"/>
          <v:path gradientshapeok="t" o:connecttype="rect"/>
        </v:shapetype>
        <v:shape id="Text Box 1" o:spid="_x0000_s2051" type="#_x0000_t202" style="position:absolute;left:0;text-align:left;margin-left:-1.4pt;margin-top:141.75pt;width:189.05pt;height:24.9pt;z-index:25165772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" filled="f" stroked="f">
          <v:textbox inset="0,0,0,0">
            <w:txbxContent>
              <w:p w:rsidR="00D408E3" w:rsidRPr="006B7C8D" w:rsidRDefault="00D408E3" w:rsidP="008B32DF">
                <w:pPr>
                  <w:pStyle w:val="Fax"/>
                  <w:spacing w:line="420" w:lineRule="exact"/>
                  <w:rPr>
                    <w:rFonts w:ascii="Times New Roman" w:hAnsi="Times New Roman"/>
                    <w:color w:val="002776"/>
                  </w:rPr>
                </w:pPr>
                <w:r w:rsidRPr="006B7C8D">
                  <w:rPr>
                    <w:rFonts w:ascii="Times New Roman" w:hAnsi="Times New Roman"/>
                    <w:color w:val="002776"/>
                  </w:rPr>
                  <w:t>News Release</w:t>
                </w:r>
              </w:p>
              <w:p w:rsidR="00D408E3" w:rsidRDefault="00D408E3" w:rsidP="008B32DF"/>
            </w:txbxContent>
          </v:textbox>
          <w10:wrap anchory="page"/>
        </v:shape>
      </w:pict>
    </w:r>
    <w:r w:rsidRPr="006A0526">
      <w:rPr>
        <w:rFonts w:ascii="Arial" w:hAnsi="Arial"/>
        <w:color w:val="002776"/>
        <w:lang w:val="de-DE"/>
      </w:rPr>
      <w:t>Tel. + 32 2 600 60 00</w:t>
    </w:r>
    <w:r w:rsidRPr="006A0526">
      <w:rPr>
        <w:rFonts w:ascii="Arial" w:hAnsi="Arial"/>
        <w:color w:val="002776"/>
        <w:lang w:val="de-DE"/>
      </w:rPr>
      <w:br/>
    </w:r>
    <w:r w:rsidRPr="006A0526">
      <w:rPr>
        <w:rFonts w:ascii="Arial" w:hAnsi="Arial"/>
        <w:color w:val="002776"/>
        <w:spacing w:val="-2"/>
        <w:lang w:val="de-DE"/>
      </w:rPr>
      <w:t xml:space="preserve">Fax + </w:t>
    </w:r>
    <w:r w:rsidRPr="006A0526">
      <w:rPr>
        <w:rFonts w:ascii="Arial" w:hAnsi="Arial"/>
        <w:color w:val="002776"/>
        <w:lang w:val="de-DE"/>
      </w:rPr>
      <w:t>32 2 600 60 01</w:t>
    </w:r>
    <w:r w:rsidRPr="006A0526">
      <w:rPr>
        <w:rFonts w:ascii="Arial" w:hAnsi="Arial"/>
        <w:color w:val="002776"/>
        <w:spacing w:val="-2"/>
        <w:lang w:val="de-DE"/>
      </w:rPr>
      <w:br/>
    </w:r>
    <w:r w:rsidRPr="006A0526">
      <w:rPr>
        <w:rFonts w:ascii="Arial" w:hAnsi="Arial"/>
        <w:color w:val="002776"/>
        <w:lang w:val="de-DE"/>
      </w:rPr>
      <w:t>www.deloitte.</w:t>
    </w:r>
    <w:r w:rsidRPr="006A0526">
      <w:rPr>
        <w:color w:val="002776"/>
        <w:lang w:val="de-DE"/>
      </w:rPr>
      <w:t>be</w:t>
    </w:r>
  </w:p>
  <w:p w:rsidR="00D408E3" w:rsidRPr="006A0526" w:rsidRDefault="00D408E3">
    <w:pPr>
      <w:pStyle w:val="Header"/>
      <w:rPr>
        <w:color w:val="002776"/>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AD7"/>
    <w:multiLevelType w:val="hybridMultilevel"/>
    <w:tmpl w:val="B89CAC12"/>
    <w:lvl w:ilvl="0" w:tplc="D078022E">
      <w:start w:val="1"/>
      <w:numFmt w:val="bullet"/>
      <w:lvlText w:val="-"/>
      <w:lvlJc w:val="left"/>
      <w:pPr>
        <w:tabs>
          <w:tab w:val="num" w:pos="720"/>
        </w:tabs>
        <w:ind w:left="720" w:hanging="360"/>
      </w:pPr>
      <w:rPr>
        <w:rFonts w:ascii="Times New Roman" w:hAnsi="Times New Roman" w:hint="default"/>
      </w:rPr>
    </w:lvl>
    <w:lvl w:ilvl="1" w:tplc="02D4FEF0" w:tentative="1">
      <w:start w:val="1"/>
      <w:numFmt w:val="bullet"/>
      <w:lvlText w:val="-"/>
      <w:lvlJc w:val="left"/>
      <w:pPr>
        <w:tabs>
          <w:tab w:val="num" w:pos="1440"/>
        </w:tabs>
        <w:ind w:left="1440" w:hanging="360"/>
      </w:pPr>
      <w:rPr>
        <w:rFonts w:ascii="Times New Roman" w:hAnsi="Times New Roman" w:hint="default"/>
      </w:rPr>
    </w:lvl>
    <w:lvl w:ilvl="2" w:tplc="D07A653C" w:tentative="1">
      <w:start w:val="1"/>
      <w:numFmt w:val="bullet"/>
      <w:lvlText w:val="-"/>
      <w:lvlJc w:val="left"/>
      <w:pPr>
        <w:tabs>
          <w:tab w:val="num" w:pos="2160"/>
        </w:tabs>
        <w:ind w:left="2160" w:hanging="360"/>
      </w:pPr>
      <w:rPr>
        <w:rFonts w:ascii="Times New Roman" w:hAnsi="Times New Roman" w:hint="default"/>
      </w:rPr>
    </w:lvl>
    <w:lvl w:ilvl="3" w:tplc="4B602858" w:tentative="1">
      <w:start w:val="1"/>
      <w:numFmt w:val="bullet"/>
      <w:lvlText w:val="-"/>
      <w:lvlJc w:val="left"/>
      <w:pPr>
        <w:tabs>
          <w:tab w:val="num" w:pos="2880"/>
        </w:tabs>
        <w:ind w:left="2880" w:hanging="360"/>
      </w:pPr>
      <w:rPr>
        <w:rFonts w:ascii="Times New Roman" w:hAnsi="Times New Roman" w:hint="default"/>
      </w:rPr>
    </w:lvl>
    <w:lvl w:ilvl="4" w:tplc="18385A2E" w:tentative="1">
      <w:start w:val="1"/>
      <w:numFmt w:val="bullet"/>
      <w:lvlText w:val="-"/>
      <w:lvlJc w:val="left"/>
      <w:pPr>
        <w:tabs>
          <w:tab w:val="num" w:pos="3600"/>
        </w:tabs>
        <w:ind w:left="3600" w:hanging="360"/>
      </w:pPr>
      <w:rPr>
        <w:rFonts w:ascii="Times New Roman" w:hAnsi="Times New Roman" w:hint="default"/>
      </w:rPr>
    </w:lvl>
    <w:lvl w:ilvl="5" w:tplc="1ED409F8" w:tentative="1">
      <w:start w:val="1"/>
      <w:numFmt w:val="bullet"/>
      <w:lvlText w:val="-"/>
      <w:lvlJc w:val="left"/>
      <w:pPr>
        <w:tabs>
          <w:tab w:val="num" w:pos="4320"/>
        </w:tabs>
        <w:ind w:left="4320" w:hanging="360"/>
      </w:pPr>
      <w:rPr>
        <w:rFonts w:ascii="Times New Roman" w:hAnsi="Times New Roman" w:hint="default"/>
      </w:rPr>
    </w:lvl>
    <w:lvl w:ilvl="6" w:tplc="BDBEAB0E" w:tentative="1">
      <w:start w:val="1"/>
      <w:numFmt w:val="bullet"/>
      <w:lvlText w:val="-"/>
      <w:lvlJc w:val="left"/>
      <w:pPr>
        <w:tabs>
          <w:tab w:val="num" w:pos="5040"/>
        </w:tabs>
        <w:ind w:left="5040" w:hanging="360"/>
      </w:pPr>
      <w:rPr>
        <w:rFonts w:ascii="Times New Roman" w:hAnsi="Times New Roman" w:hint="default"/>
      </w:rPr>
    </w:lvl>
    <w:lvl w:ilvl="7" w:tplc="E4B4770E" w:tentative="1">
      <w:start w:val="1"/>
      <w:numFmt w:val="bullet"/>
      <w:lvlText w:val="-"/>
      <w:lvlJc w:val="left"/>
      <w:pPr>
        <w:tabs>
          <w:tab w:val="num" w:pos="5760"/>
        </w:tabs>
        <w:ind w:left="5760" w:hanging="360"/>
      </w:pPr>
      <w:rPr>
        <w:rFonts w:ascii="Times New Roman" w:hAnsi="Times New Roman" w:hint="default"/>
      </w:rPr>
    </w:lvl>
    <w:lvl w:ilvl="8" w:tplc="ED16F85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7C33DB"/>
    <w:multiLevelType w:val="hybridMultilevel"/>
    <w:tmpl w:val="30EE7C08"/>
    <w:lvl w:ilvl="0" w:tplc="E542A5F6">
      <w:start w:val="1"/>
      <w:numFmt w:val="decimal"/>
      <w:pStyle w:val="Ntcheading"/>
      <w:lvlText w:val="%1"/>
      <w:lvlJc w:val="left"/>
      <w:pPr>
        <w:tabs>
          <w:tab w:val="num" w:pos="360"/>
        </w:tabs>
        <w:ind w:left="284" w:hanging="284"/>
      </w:pPr>
      <w:rPr>
        <w:rFonts w:ascii="Helvetica 65 Medium" w:hAnsi="Helvetica 65 Medium" w:cs="Times New Roman" w:hint="default"/>
        <w:sz w:val="13"/>
      </w:rPr>
    </w:lvl>
    <w:lvl w:ilvl="1" w:tplc="6D26EAC6" w:tentative="1">
      <w:start w:val="1"/>
      <w:numFmt w:val="lowerLetter"/>
      <w:lvlText w:val="%2."/>
      <w:lvlJc w:val="left"/>
      <w:pPr>
        <w:tabs>
          <w:tab w:val="num" w:pos="1440"/>
        </w:tabs>
        <w:ind w:left="1440" w:hanging="360"/>
      </w:pPr>
      <w:rPr>
        <w:rFonts w:cs="Times New Roman"/>
      </w:rPr>
    </w:lvl>
    <w:lvl w:ilvl="2" w:tplc="39F4BC5E" w:tentative="1">
      <w:start w:val="1"/>
      <w:numFmt w:val="lowerRoman"/>
      <w:lvlText w:val="%3."/>
      <w:lvlJc w:val="right"/>
      <w:pPr>
        <w:tabs>
          <w:tab w:val="num" w:pos="2160"/>
        </w:tabs>
        <w:ind w:left="2160" w:hanging="180"/>
      </w:pPr>
      <w:rPr>
        <w:rFonts w:cs="Times New Roman"/>
      </w:rPr>
    </w:lvl>
    <w:lvl w:ilvl="3" w:tplc="DE46C16C" w:tentative="1">
      <w:start w:val="1"/>
      <w:numFmt w:val="decimal"/>
      <w:lvlText w:val="%4."/>
      <w:lvlJc w:val="left"/>
      <w:pPr>
        <w:tabs>
          <w:tab w:val="num" w:pos="2880"/>
        </w:tabs>
        <w:ind w:left="2880" w:hanging="360"/>
      </w:pPr>
      <w:rPr>
        <w:rFonts w:cs="Times New Roman"/>
      </w:rPr>
    </w:lvl>
    <w:lvl w:ilvl="4" w:tplc="F99A16D8" w:tentative="1">
      <w:start w:val="1"/>
      <w:numFmt w:val="lowerLetter"/>
      <w:lvlText w:val="%5."/>
      <w:lvlJc w:val="left"/>
      <w:pPr>
        <w:tabs>
          <w:tab w:val="num" w:pos="3600"/>
        </w:tabs>
        <w:ind w:left="3600" w:hanging="360"/>
      </w:pPr>
      <w:rPr>
        <w:rFonts w:cs="Times New Roman"/>
      </w:rPr>
    </w:lvl>
    <w:lvl w:ilvl="5" w:tplc="C01466DA" w:tentative="1">
      <w:start w:val="1"/>
      <w:numFmt w:val="lowerRoman"/>
      <w:lvlText w:val="%6."/>
      <w:lvlJc w:val="right"/>
      <w:pPr>
        <w:tabs>
          <w:tab w:val="num" w:pos="4320"/>
        </w:tabs>
        <w:ind w:left="4320" w:hanging="180"/>
      </w:pPr>
      <w:rPr>
        <w:rFonts w:cs="Times New Roman"/>
      </w:rPr>
    </w:lvl>
    <w:lvl w:ilvl="6" w:tplc="202EFA7E" w:tentative="1">
      <w:start w:val="1"/>
      <w:numFmt w:val="decimal"/>
      <w:lvlText w:val="%7."/>
      <w:lvlJc w:val="left"/>
      <w:pPr>
        <w:tabs>
          <w:tab w:val="num" w:pos="5040"/>
        </w:tabs>
        <w:ind w:left="5040" w:hanging="360"/>
      </w:pPr>
      <w:rPr>
        <w:rFonts w:cs="Times New Roman"/>
      </w:rPr>
    </w:lvl>
    <w:lvl w:ilvl="7" w:tplc="79EA6EB8" w:tentative="1">
      <w:start w:val="1"/>
      <w:numFmt w:val="lowerLetter"/>
      <w:lvlText w:val="%8."/>
      <w:lvlJc w:val="left"/>
      <w:pPr>
        <w:tabs>
          <w:tab w:val="num" w:pos="5760"/>
        </w:tabs>
        <w:ind w:left="5760" w:hanging="360"/>
      </w:pPr>
      <w:rPr>
        <w:rFonts w:cs="Times New Roman"/>
      </w:rPr>
    </w:lvl>
    <w:lvl w:ilvl="8" w:tplc="22989A54" w:tentative="1">
      <w:start w:val="1"/>
      <w:numFmt w:val="lowerRoman"/>
      <w:lvlText w:val="%9."/>
      <w:lvlJc w:val="right"/>
      <w:pPr>
        <w:tabs>
          <w:tab w:val="num" w:pos="6480"/>
        </w:tabs>
        <w:ind w:left="6480" w:hanging="180"/>
      </w:pPr>
      <w:rPr>
        <w:rFonts w:cs="Times New Roman"/>
      </w:rPr>
    </w:lvl>
  </w:abstractNum>
  <w:abstractNum w:abstractNumId="2">
    <w:nsid w:val="03295EF6"/>
    <w:multiLevelType w:val="hybridMultilevel"/>
    <w:tmpl w:val="86307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CB23DB"/>
    <w:multiLevelType w:val="hybridMultilevel"/>
    <w:tmpl w:val="619C2084"/>
    <w:lvl w:ilvl="0" w:tplc="F2621D7A">
      <w:start w:val="1"/>
      <w:numFmt w:val="bullet"/>
      <w:lvlText w:val="-"/>
      <w:lvlJc w:val="left"/>
      <w:pPr>
        <w:tabs>
          <w:tab w:val="num" w:pos="720"/>
        </w:tabs>
        <w:ind w:left="720" w:hanging="360"/>
      </w:pPr>
      <w:rPr>
        <w:rFonts w:ascii="Times New Roman" w:hAnsi="Times New Roman" w:hint="default"/>
      </w:rPr>
    </w:lvl>
    <w:lvl w:ilvl="1" w:tplc="483C786A" w:tentative="1">
      <w:start w:val="1"/>
      <w:numFmt w:val="bullet"/>
      <w:lvlText w:val="-"/>
      <w:lvlJc w:val="left"/>
      <w:pPr>
        <w:tabs>
          <w:tab w:val="num" w:pos="1440"/>
        </w:tabs>
        <w:ind w:left="1440" w:hanging="360"/>
      </w:pPr>
      <w:rPr>
        <w:rFonts w:ascii="Times New Roman" w:hAnsi="Times New Roman" w:hint="default"/>
      </w:rPr>
    </w:lvl>
    <w:lvl w:ilvl="2" w:tplc="0616D13C" w:tentative="1">
      <w:start w:val="1"/>
      <w:numFmt w:val="bullet"/>
      <w:lvlText w:val="-"/>
      <w:lvlJc w:val="left"/>
      <w:pPr>
        <w:tabs>
          <w:tab w:val="num" w:pos="2160"/>
        </w:tabs>
        <w:ind w:left="2160" w:hanging="360"/>
      </w:pPr>
      <w:rPr>
        <w:rFonts w:ascii="Times New Roman" w:hAnsi="Times New Roman" w:hint="default"/>
      </w:rPr>
    </w:lvl>
    <w:lvl w:ilvl="3" w:tplc="942A7CCE" w:tentative="1">
      <w:start w:val="1"/>
      <w:numFmt w:val="bullet"/>
      <w:lvlText w:val="-"/>
      <w:lvlJc w:val="left"/>
      <w:pPr>
        <w:tabs>
          <w:tab w:val="num" w:pos="2880"/>
        </w:tabs>
        <w:ind w:left="2880" w:hanging="360"/>
      </w:pPr>
      <w:rPr>
        <w:rFonts w:ascii="Times New Roman" w:hAnsi="Times New Roman" w:hint="default"/>
      </w:rPr>
    </w:lvl>
    <w:lvl w:ilvl="4" w:tplc="508A3986" w:tentative="1">
      <w:start w:val="1"/>
      <w:numFmt w:val="bullet"/>
      <w:lvlText w:val="-"/>
      <w:lvlJc w:val="left"/>
      <w:pPr>
        <w:tabs>
          <w:tab w:val="num" w:pos="3600"/>
        </w:tabs>
        <w:ind w:left="3600" w:hanging="360"/>
      </w:pPr>
      <w:rPr>
        <w:rFonts w:ascii="Times New Roman" w:hAnsi="Times New Roman" w:hint="default"/>
      </w:rPr>
    </w:lvl>
    <w:lvl w:ilvl="5" w:tplc="47DE76C0" w:tentative="1">
      <w:start w:val="1"/>
      <w:numFmt w:val="bullet"/>
      <w:lvlText w:val="-"/>
      <w:lvlJc w:val="left"/>
      <w:pPr>
        <w:tabs>
          <w:tab w:val="num" w:pos="4320"/>
        </w:tabs>
        <w:ind w:left="4320" w:hanging="360"/>
      </w:pPr>
      <w:rPr>
        <w:rFonts w:ascii="Times New Roman" w:hAnsi="Times New Roman" w:hint="default"/>
      </w:rPr>
    </w:lvl>
    <w:lvl w:ilvl="6" w:tplc="1D1C36DE" w:tentative="1">
      <w:start w:val="1"/>
      <w:numFmt w:val="bullet"/>
      <w:lvlText w:val="-"/>
      <w:lvlJc w:val="left"/>
      <w:pPr>
        <w:tabs>
          <w:tab w:val="num" w:pos="5040"/>
        </w:tabs>
        <w:ind w:left="5040" w:hanging="360"/>
      </w:pPr>
      <w:rPr>
        <w:rFonts w:ascii="Times New Roman" w:hAnsi="Times New Roman" w:hint="default"/>
      </w:rPr>
    </w:lvl>
    <w:lvl w:ilvl="7" w:tplc="58507928" w:tentative="1">
      <w:start w:val="1"/>
      <w:numFmt w:val="bullet"/>
      <w:lvlText w:val="-"/>
      <w:lvlJc w:val="left"/>
      <w:pPr>
        <w:tabs>
          <w:tab w:val="num" w:pos="5760"/>
        </w:tabs>
        <w:ind w:left="5760" w:hanging="360"/>
      </w:pPr>
      <w:rPr>
        <w:rFonts w:ascii="Times New Roman" w:hAnsi="Times New Roman" w:hint="default"/>
      </w:rPr>
    </w:lvl>
    <w:lvl w:ilvl="8" w:tplc="65E2305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4827E8"/>
    <w:multiLevelType w:val="hybridMultilevel"/>
    <w:tmpl w:val="414EB92C"/>
    <w:lvl w:ilvl="0" w:tplc="29120AC4">
      <w:start w:val="1"/>
      <w:numFmt w:val="decimal"/>
      <w:lvlText w:val="%1."/>
      <w:lvlJc w:val="left"/>
      <w:pPr>
        <w:ind w:left="360" w:hanging="360"/>
      </w:pPr>
      <w:rPr>
        <w:rFonts w:cs="Times New Roman" w:hint="default"/>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65062D8"/>
    <w:multiLevelType w:val="multilevel"/>
    <w:tmpl w:val="22EE6020"/>
    <w:lvl w:ilvl="0">
      <w:start w:val="1"/>
      <w:numFmt w:val="decimal"/>
      <w:pStyle w:val="Mtctext"/>
      <w:lvlText w:val="%1."/>
      <w:lvlJc w:val="left"/>
      <w:pPr>
        <w:tabs>
          <w:tab w:val="num" w:pos="383"/>
        </w:tabs>
        <w:ind w:left="383" w:hanging="383"/>
      </w:pPr>
      <w:rPr>
        <w:rFonts w:ascii="Helvetica 65 Medium" w:hAnsi="Helvetica 65 Medium" w:cs="Times New Roman" w:hint="default"/>
        <w:b w:val="0"/>
        <w:i w:val="0"/>
        <w:sz w:val="13"/>
      </w:rPr>
    </w:lvl>
    <w:lvl w:ilvl="1">
      <w:start w:val="1"/>
      <w:numFmt w:val="decimal"/>
      <w:lvlText w:val="%1.%2."/>
      <w:lvlJc w:val="left"/>
      <w:pPr>
        <w:tabs>
          <w:tab w:val="num" w:pos="383"/>
        </w:tabs>
        <w:ind w:left="383" w:hanging="383"/>
      </w:pPr>
      <w:rPr>
        <w:rFonts w:ascii="Helvetica 45 Light" w:hAnsi="Helvetica 45 Light" w:cs="Times New Roman" w:hint="default"/>
      </w:rPr>
    </w:lvl>
    <w:lvl w:ilvl="2">
      <w:start w:val="1"/>
      <w:numFmt w:val="decimal"/>
      <w:lvlText w:val="%1.%2.%3."/>
      <w:lvlJc w:val="left"/>
      <w:pPr>
        <w:tabs>
          <w:tab w:val="num" w:pos="383"/>
        </w:tabs>
        <w:ind w:left="383" w:hanging="383"/>
      </w:pPr>
      <w:rPr>
        <w:rFonts w:ascii="Helvetica 45 Light" w:hAnsi="Helvetica 45 Light" w:cs="Times New Roman" w:hint="default"/>
        <w:spacing w:val="-4"/>
      </w:rPr>
    </w:lvl>
    <w:lvl w:ilvl="3">
      <w:start w:val="1"/>
      <w:numFmt w:val="decimal"/>
      <w:lvlText w:val="%1.%2.%3.%4."/>
      <w:lvlJc w:val="left"/>
      <w:pPr>
        <w:tabs>
          <w:tab w:val="num" w:pos="720"/>
        </w:tabs>
        <w:ind w:left="284" w:hanging="284"/>
      </w:pPr>
      <w:rPr>
        <w:rFonts w:ascii="Helvetica 45 Light" w:hAnsi="Helvetica 45 Light"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52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60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6">
    <w:nsid w:val="0CD8637A"/>
    <w:multiLevelType w:val="hybridMultilevel"/>
    <w:tmpl w:val="F59A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9D1A5E"/>
    <w:multiLevelType w:val="hybridMultilevel"/>
    <w:tmpl w:val="6316D946"/>
    <w:lvl w:ilvl="0" w:tplc="D2E42E3E">
      <w:start w:val="1"/>
      <w:numFmt w:val="bullet"/>
      <w:lvlText w:val=""/>
      <w:lvlJc w:val="left"/>
      <w:pPr>
        <w:tabs>
          <w:tab w:val="num" w:pos="720"/>
        </w:tabs>
        <w:ind w:left="720" w:hanging="360"/>
      </w:pPr>
      <w:rPr>
        <w:rFonts w:ascii="Symbol" w:hAnsi="Symbol" w:hint="default"/>
      </w:rPr>
    </w:lvl>
    <w:lvl w:ilvl="1" w:tplc="7102CAE8" w:tentative="1">
      <w:start w:val="1"/>
      <w:numFmt w:val="bullet"/>
      <w:lvlText w:val=""/>
      <w:lvlJc w:val="left"/>
      <w:pPr>
        <w:tabs>
          <w:tab w:val="num" w:pos="1440"/>
        </w:tabs>
        <w:ind w:left="1440" w:hanging="360"/>
      </w:pPr>
      <w:rPr>
        <w:rFonts w:ascii="Symbol" w:hAnsi="Symbol" w:hint="default"/>
      </w:rPr>
    </w:lvl>
    <w:lvl w:ilvl="2" w:tplc="D2F6E150" w:tentative="1">
      <w:start w:val="1"/>
      <w:numFmt w:val="bullet"/>
      <w:lvlText w:val=""/>
      <w:lvlJc w:val="left"/>
      <w:pPr>
        <w:tabs>
          <w:tab w:val="num" w:pos="2160"/>
        </w:tabs>
        <w:ind w:left="2160" w:hanging="360"/>
      </w:pPr>
      <w:rPr>
        <w:rFonts w:ascii="Symbol" w:hAnsi="Symbol" w:hint="default"/>
      </w:rPr>
    </w:lvl>
    <w:lvl w:ilvl="3" w:tplc="7F3CA36A" w:tentative="1">
      <w:start w:val="1"/>
      <w:numFmt w:val="bullet"/>
      <w:lvlText w:val=""/>
      <w:lvlJc w:val="left"/>
      <w:pPr>
        <w:tabs>
          <w:tab w:val="num" w:pos="2880"/>
        </w:tabs>
        <w:ind w:left="2880" w:hanging="360"/>
      </w:pPr>
      <w:rPr>
        <w:rFonts w:ascii="Symbol" w:hAnsi="Symbol" w:hint="default"/>
      </w:rPr>
    </w:lvl>
    <w:lvl w:ilvl="4" w:tplc="91F6F7DC" w:tentative="1">
      <w:start w:val="1"/>
      <w:numFmt w:val="bullet"/>
      <w:lvlText w:val=""/>
      <w:lvlJc w:val="left"/>
      <w:pPr>
        <w:tabs>
          <w:tab w:val="num" w:pos="3600"/>
        </w:tabs>
        <w:ind w:left="3600" w:hanging="360"/>
      </w:pPr>
      <w:rPr>
        <w:rFonts w:ascii="Symbol" w:hAnsi="Symbol" w:hint="default"/>
      </w:rPr>
    </w:lvl>
    <w:lvl w:ilvl="5" w:tplc="3E72288A" w:tentative="1">
      <w:start w:val="1"/>
      <w:numFmt w:val="bullet"/>
      <w:lvlText w:val=""/>
      <w:lvlJc w:val="left"/>
      <w:pPr>
        <w:tabs>
          <w:tab w:val="num" w:pos="4320"/>
        </w:tabs>
        <w:ind w:left="4320" w:hanging="360"/>
      </w:pPr>
      <w:rPr>
        <w:rFonts w:ascii="Symbol" w:hAnsi="Symbol" w:hint="default"/>
      </w:rPr>
    </w:lvl>
    <w:lvl w:ilvl="6" w:tplc="B8BEFC7C" w:tentative="1">
      <w:start w:val="1"/>
      <w:numFmt w:val="bullet"/>
      <w:lvlText w:val=""/>
      <w:lvlJc w:val="left"/>
      <w:pPr>
        <w:tabs>
          <w:tab w:val="num" w:pos="5040"/>
        </w:tabs>
        <w:ind w:left="5040" w:hanging="360"/>
      </w:pPr>
      <w:rPr>
        <w:rFonts w:ascii="Symbol" w:hAnsi="Symbol" w:hint="default"/>
      </w:rPr>
    </w:lvl>
    <w:lvl w:ilvl="7" w:tplc="C482587C" w:tentative="1">
      <w:start w:val="1"/>
      <w:numFmt w:val="bullet"/>
      <w:lvlText w:val=""/>
      <w:lvlJc w:val="left"/>
      <w:pPr>
        <w:tabs>
          <w:tab w:val="num" w:pos="5760"/>
        </w:tabs>
        <w:ind w:left="5760" w:hanging="360"/>
      </w:pPr>
      <w:rPr>
        <w:rFonts w:ascii="Symbol" w:hAnsi="Symbol" w:hint="default"/>
      </w:rPr>
    </w:lvl>
    <w:lvl w:ilvl="8" w:tplc="E2F8FE9A" w:tentative="1">
      <w:start w:val="1"/>
      <w:numFmt w:val="bullet"/>
      <w:lvlText w:val=""/>
      <w:lvlJc w:val="left"/>
      <w:pPr>
        <w:tabs>
          <w:tab w:val="num" w:pos="6480"/>
        </w:tabs>
        <w:ind w:left="6480" w:hanging="360"/>
      </w:pPr>
      <w:rPr>
        <w:rFonts w:ascii="Symbol" w:hAnsi="Symbol" w:hint="default"/>
      </w:rPr>
    </w:lvl>
  </w:abstractNum>
  <w:abstractNum w:abstractNumId="8">
    <w:nsid w:val="1CD718EF"/>
    <w:multiLevelType w:val="hybridMultilevel"/>
    <w:tmpl w:val="6D7EF780"/>
    <w:lvl w:ilvl="0" w:tplc="885E019C">
      <w:start w:val="1"/>
      <w:numFmt w:val="bullet"/>
      <w:lvlText w:val="•"/>
      <w:lvlJc w:val="left"/>
      <w:pPr>
        <w:tabs>
          <w:tab w:val="num" w:pos="720"/>
        </w:tabs>
        <w:ind w:left="720" w:hanging="360"/>
      </w:pPr>
      <w:rPr>
        <w:rFonts w:ascii="Arial" w:hAnsi="Arial" w:hint="default"/>
      </w:rPr>
    </w:lvl>
    <w:lvl w:ilvl="1" w:tplc="25AC7BC2" w:tentative="1">
      <w:start w:val="1"/>
      <w:numFmt w:val="bullet"/>
      <w:lvlText w:val="•"/>
      <w:lvlJc w:val="left"/>
      <w:pPr>
        <w:tabs>
          <w:tab w:val="num" w:pos="1440"/>
        </w:tabs>
        <w:ind w:left="1440" w:hanging="360"/>
      </w:pPr>
      <w:rPr>
        <w:rFonts w:ascii="Arial" w:hAnsi="Arial" w:hint="default"/>
      </w:rPr>
    </w:lvl>
    <w:lvl w:ilvl="2" w:tplc="1CEE61DE" w:tentative="1">
      <w:start w:val="1"/>
      <w:numFmt w:val="bullet"/>
      <w:lvlText w:val="•"/>
      <w:lvlJc w:val="left"/>
      <w:pPr>
        <w:tabs>
          <w:tab w:val="num" w:pos="2160"/>
        </w:tabs>
        <w:ind w:left="2160" w:hanging="360"/>
      </w:pPr>
      <w:rPr>
        <w:rFonts w:ascii="Arial" w:hAnsi="Arial" w:hint="default"/>
      </w:rPr>
    </w:lvl>
    <w:lvl w:ilvl="3" w:tplc="FC9A4CA8" w:tentative="1">
      <w:start w:val="1"/>
      <w:numFmt w:val="bullet"/>
      <w:lvlText w:val="•"/>
      <w:lvlJc w:val="left"/>
      <w:pPr>
        <w:tabs>
          <w:tab w:val="num" w:pos="2880"/>
        </w:tabs>
        <w:ind w:left="2880" w:hanging="360"/>
      </w:pPr>
      <w:rPr>
        <w:rFonts w:ascii="Arial" w:hAnsi="Arial" w:hint="default"/>
      </w:rPr>
    </w:lvl>
    <w:lvl w:ilvl="4" w:tplc="25548F86" w:tentative="1">
      <w:start w:val="1"/>
      <w:numFmt w:val="bullet"/>
      <w:lvlText w:val="•"/>
      <w:lvlJc w:val="left"/>
      <w:pPr>
        <w:tabs>
          <w:tab w:val="num" w:pos="3600"/>
        </w:tabs>
        <w:ind w:left="3600" w:hanging="360"/>
      </w:pPr>
      <w:rPr>
        <w:rFonts w:ascii="Arial" w:hAnsi="Arial" w:hint="default"/>
      </w:rPr>
    </w:lvl>
    <w:lvl w:ilvl="5" w:tplc="813A081E" w:tentative="1">
      <w:start w:val="1"/>
      <w:numFmt w:val="bullet"/>
      <w:lvlText w:val="•"/>
      <w:lvlJc w:val="left"/>
      <w:pPr>
        <w:tabs>
          <w:tab w:val="num" w:pos="4320"/>
        </w:tabs>
        <w:ind w:left="4320" w:hanging="360"/>
      </w:pPr>
      <w:rPr>
        <w:rFonts w:ascii="Arial" w:hAnsi="Arial" w:hint="default"/>
      </w:rPr>
    </w:lvl>
    <w:lvl w:ilvl="6" w:tplc="DBA8464A" w:tentative="1">
      <w:start w:val="1"/>
      <w:numFmt w:val="bullet"/>
      <w:lvlText w:val="•"/>
      <w:lvlJc w:val="left"/>
      <w:pPr>
        <w:tabs>
          <w:tab w:val="num" w:pos="5040"/>
        </w:tabs>
        <w:ind w:left="5040" w:hanging="360"/>
      </w:pPr>
      <w:rPr>
        <w:rFonts w:ascii="Arial" w:hAnsi="Arial" w:hint="default"/>
      </w:rPr>
    </w:lvl>
    <w:lvl w:ilvl="7" w:tplc="19E6F6F2" w:tentative="1">
      <w:start w:val="1"/>
      <w:numFmt w:val="bullet"/>
      <w:lvlText w:val="•"/>
      <w:lvlJc w:val="left"/>
      <w:pPr>
        <w:tabs>
          <w:tab w:val="num" w:pos="5760"/>
        </w:tabs>
        <w:ind w:left="5760" w:hanging="360"/>
      </w:pPr>
      <w:rPr>
        <w:rFonts w:ascii="Arial" w:hAnsi="Arial" w:hint="default"/>
      </w:rPr>
    </w:lvl>
    <w:lvl w:ilvl="8" w:tplc="63981B8C" w:tentative="1">
      <w:start w:val="1"/>
      <w:numFmt w:val="bullet"/>
      <w:lvlText w:val="•"/>
      <w:lvlJc w:val="left"/>
      <w:pPr>
        <w:tabs>
          <w:tab w:val="num" w:pos="6480"/>
        </w:tabs>
        <w:ind w:left="6480" w:hanging="360"/>
      </w:pPr>
      <w:rPr>
        <w:rFonts w:ascii="Arial" w:hAnsi="Arial" w:hint="default"/>
      </w:rPr>
    </w:lvl>
  </w:abstractNum>
  <w:abstractNum w:abstractNumId="9">
    <w:nsid w:val="1D1032F4"/>
    <w:multiLevelType w:val="hybridMultilevel"/>
    <w:tmpl w:val="6786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611378"/>
    <w:multiLevelType w:val="hybridMultilevel"/>
    <w:tmpl w:val="17FA4804"/>
    <w:lvl w:ilvl="0" w:tplc="0FD004BC">
      <w:start w:val="1"/>
      <w:numFmt w:val="bullet"/>
      <w:lvlText w:val="•"/>
      <w:lvlJc w:val="left"/>
      <w:pPr>
        <w:tabs>
          <w:tab w:val="num" w:pos="720"/>
        </w:tabs>
        <w:ind w:left="720" w:hanging="360"/>
      </w:pPr>
      <w:rPr>
        <w:rFonts w:ascii="Arial" w:hAnsi="Arial" w:hint="default"/>
      </w:rPr>
    </w:lvl>
    <w:lvl w:ilvl="1" w:tplc="DB74B33C" w:tentative="1">
      <w:start w:val="1"/>
      <w:numFmt w:val="bullet"/>
      <w:lvlText w:val="•"/>
      <w:lvlJc w:val="left"/>
      <w:pPr>
        <w:tabs>
          <w:tab w:val="num" w:pos="1440"/>
        </w:tabs>
        <w:ind w:left="1440" w:hanging="360"/>
      </w:pPr>
      <w:rPr>
        <w:rFonts w:ascii="Arial" w:hAnsi="Arial" w:hint="default"/>
      </w:rPr>
    </w:lvl>
    <w:lvl w:ilvl="2" w:tplc="9A60036E" w:tentative="1">
      <w:start w:val="1"/>
      <w:numFmt w:val="bullet"/>
      <w:lvlText w:val="•"/>
      <w:lvlJc w:val="left"/>
      <w:pPr>
        <w:tabs>
          <w:tab w:val="num" w:pos="2160"/>
        </w:tabs>
        <w:ind w:left="2160" w:hanging="360"/>
      </w:pPr>
      <w:rPr>
        <w:rFonts w:ascii="Arial" w:hAnsi="Arial" w:hint="default"/>
      </w:rPr>
    </w:lvl>
    <w:lvl w:ilvl="3" w:tplc="DD580634" w:tentative="1">
      <w:start w:val="1"/>
      <w:numFmt w:val="bullet"/>
      <w:lvlText w:val="•"/>
      <w:lvlJc w:val="left"/>
      <w:pPr>
        <w:tabs>
          <w:tab w:val="num" w:pos="2880"/>
        </w:tabs>
        <w:ind w:left="2880" w:hanging="360"/>
      </w:pPr>
      <w:rPr>
        <w:rFonts w:ascii="Arial" w:hAnsi="Arial" w:hint="default"/>
      </w:rPr>
    </w:lvl>
    <w:lvl w:ilvl="4" w:tplc="52F629A8" w:tentative="1">
      <w:start w:val="1"/>
      <w:numFmt w:val="bullet"/>
      <w:lvlText w:val="•"/>
      <w:lvlJc w:val="left"/>
      <w:pPr>
        <w:tabs>
          <w:tab w:val="num" w:pos="3600"/>
        </w:tabs>
        <w:ind w:left="3600" w:hanging="360"/>
      </w:pPr>
      <w:rPr>
        <w:rFonts w:ascii="Arial" w:hAnsi="Arial" w:hint="default"/>
      </w:rPr>
    </w:lvl>
    <w:lvl w:ilvl="5" w:tplc="54E8C232" w:tentative="1">
      <w:start w:val="1"/>
      <w:numFmt w:val="bullet"/>
      <w:lvlText w:val="•"/>
      <w:lvlJc w:val="left"/>
      <w:pPr>
        <w:tabs>
          <w:tab w:val="num" w:pos="4320"/>
        </w:tabs>
        <w:ind w:left="4320" w:hanging="360"/>
      </w:pPr>
      <w:rPr>
        <w:rFonts w:ascii="Arial" w:hAnsi="Arial" w:hint="default"/>
      </w:rPr>
    </w:lvl>
    <w:lvl w:ilvl="6" w:tplc="8B165832" w:tentative="1">
      <w:start w:val="1"/>
      <w:numFmt w:val="bullet"/>
      <w:lvlText w:val="•"/>
      <w:lvlJc w:val="left"/>
      <w:pPr>
        <w:tabs>
          <w:tab w:val="num" w:pos="5040"/>
        </w:tabs>
        <w:ind w:left="5040" w:hanging="360"/>
      </w:pPr>
      <w:rPr>
        <w:rFonts w:ascii="Arial" w:hAnsi="Arial" w:hint="default"/>
      </w:rPr>
    </w:lvl>
    <w:lvl w:ilvl="7" w:tplc="F74A9252" w:tentative="1">
      <w:start w:val="1"/>
      <w:numFmt w:val="bullet"/>
      <w:lvlText w:val="•"/>
      <w:lvlJc w:val="left"/>
      <w:pPr>
        <w:tabs>
          <w:tab w:val="num" w:pos="5760"/>
        </w:tabs>
        <w:ind w:left="5760" w:hanging="360"/>
      </w:pPr>
      <w:rPr>
        <w:rFonts w:ascii="Arial" w:hAnsi="Arial" w:hint="default"/>
      </w:rPr>
    </w:lvl>
    <w:lvl w:ilvl="8" w:tplc="F4BC8D74" w:tentative="1">
      <w:start w:val="1"/>
      <w:numFmt w:val="bullet"/>
      <w:lvlText w:val="•"/>
      <w:lvlJc w:val="left"/>
      <w:pPr>
        <w:tabs>
          <w:tab w:val="num" w:pos="6480"/>
        </w:tabs>
        <w:ind w:left="6480" w:hanging="360"/>
      </w:pPr>
      <w:rPr>
        <w:rFonts w:ascii="Arial" w:hAnsi="Arial" w:hint="default"/>
      </w:rPr>
    </w:lvl>
  </w:abstractNum>
  <w:abstractNum w:abstractNumId="11">
    <w:nsid w:val="2FF20FA1"/>
    <w:multiLevelType w:val="hybridMultilevel"/>
    <w:tmpl w:val="361C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213E8F"/>
    <w:multiLevelType w:val="hybridMultilevel"/>
    <w:tmpl w:val="E9F0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0460EC"/>
    <w:multiLevelType w:val="hybridMultilevel"/>
    <w:tmpl w:val="598E2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4B8028D"/>
    <w:multiLevelType w:val="hybridMultilevel"/>
    <w:tmpl w:val="2D300A68"/>
    <w:lvl w:ilvl="0" w:tplc="861E9C4A">
      <w:start w:val="1"/>
      <w:numFmt w:val="bullet"/>
      <w:lvlText w:val="-"/>
      <w:lvlJc w:val="left"/>
      <w:pPr>
        <w:tabs>
          <w:tab w:val="num" w:pos="720"/>
        </w:tabs>
        <w:ind w:left="720" w:hanging="360"/>
      </w:pPr>
      <w:rPr>
        <w:rFonts w:ascii="Times New Roman" w:hAnsi="Times New Roman" w:hint="default"/>
      </w:rPr>
    </w:lvl>
    <w:lvl w:ilvl="1" w:tplc="3EEA1EE4" w:tentative="1">
      <w:start w:val="1"/>
      <w:numFmt w:val="bullet"/>
      <w:lvlText w:val="-"/>
      <w:lvlJc w:val="left"/>
      <w:pPr>
        <w:tabs>
          <w:tab w:val="num" w:pos="1440"/>
        </w:tabs>
        <w:ind w:left="1440" w:hanging="360"/>
      </w:pPr>
      <w:rPr>
        <w:rFonts w:ascii="Times New Roman" w:hAnsi="Times New Roman" w:hint="default"/>
      </w:rPr>
    </w:lvl>
    <w:lvl w:ilvl="2" w:tplc="818A13BC" w:tentative="1">
      <w:start w:val="1"/>
      <w:numFmt w:val="bullet"/>
      <w:lvlText w:val="-"/>
      <w:lvlJc w:val="left"/>
      <w:pPr>
        <w:tabs>
          <w:tab w:val="num" w:pos="2160"/>
        </w:tabs>
        <w:ind w:left="2160" w:hanging="360"/>
      </w:pPr>
      <w:rPr>
        <w:rFonts w:ascii="Times New Roman" w:hAnsi="Times New Roman" w:hint="default"/>
      </w:rPr>
    </w:lvl>
    <w:lvl w:ilvl="3" w:tplc="6D14F886" w:tentative="1">
      <w:start w:val="1"/>
      <w:numFmt w:val="bullet"/>
      <w:lvlText w:val="-"/>
      <w:lvlJc w:val="left"/>
      <w:pPr>
        <w:tabs>
          <w:tab w:val="num" w:pos="2880"/>
        </w:tabs>
        <w:ind w:left="2880" w:hanging="360"/>
      </w:pPr>
      <w:rPr>
        <w:rFonts w:ascii="Times New Roman" w:hAnsi="Times New Roman" w:hint="default"/>
      </w:rPr>
    </w:lvl>
    <w:lvl w:ilvl="4" w:tplc="F5FA3A60" w:tentative="1">
      <w:start w:val="1"/>
      <w:numFmt w:val="bullet"/>
      <w:lvlText w:val="-"/>
      <w:lvlJc w:val="left"/>
      <w:pPr>
        <w:tabs>
          <w:tab w:val="num" w:pos="3600"/>
        </w:tabs>
        <w:ind w:left="3600" w:hanging="360"/>
      </w:pPr>
      <w:rPr>
        <w:rFonts w:ascii="Times New Roman" w:hAnsi="Times New Roman" w:hint="default"/>
      </w:rPr>
    </w:lvl>
    <w:lvl w:ilvl="5" w:tplc="D916ADF0" w:tentative="1">
      <w:start w:val="1"/>
      <w:numFmt w:val="bullet"/>
      <w:lvlText w:val="-"/>
      <w:lvlJc w:val="left"/>
      <w:pPr>
        <w:tabs>
          <w:tab w:val="num" w:pos="4320"/>
        </w:tabs>
        <w:ind w:left="4320" w:hanging="360"/>
      </w:pPr>
      <w:rPr>
        <w:rFonts w:ascii="Times New Roman" w:hAnsi="Times New Roman" w:hint="default"/>
      </w:rPr>
    </w:lvl>
    <w:lvl w:ilvl="6" w:tplc="4656B7F4" w:tentative="1">
      <w:start w:val="1"/>
      <w:numFmt w:val="bullet"/>
      <w:lvlText w:val="-"/>
      <w:lvlJc w:val="left"/>
      <w:pPr>
        <w:tabs>
          <w:tab w:val="num" w:pos="5040"/>
        </w:tabs>
        <w:ind w:left="5040" w:hanging="360"/>
      </w:pPr>
      <w:rPr>
        <w:rFonts w:ascii="Times New Roman" w:hAnsi="Times New Roman" w:hint="default"/>
      </w:rPr>
    </w:lvl>
    <w:lvl w:ilvl="7" w:tplc="A6360220" w:tentative="1">
      <w:start w:val="1"/>
      <w:numFmt w:val="bullet"/>
      <w:lvlText w:val="-"/>
      <w:lvlJc w:val="left"/>
      <w:pPr>
        <w:tabs>
          <w:tab w:val="num" w:pos="5760"/>
        </w:tabs>
        <w:ind w:left="5760" w:hanging="360"/>
      </w:pPr>
      <w:rPr>
        <w:rFonts w:ascii="Times New Roman" w:hAnsi="Times New Roman" w:hint="default"/>
      </w:rPr>
    </w:lvl>
    <w:lvl w:ilvl="8" w:tplc="CF9E986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A50329B"/>
    <w:multiLevelType w:val="hybridMultilevel"/>
    <w:tmpl w:val="E2C650C0"/>
    <w:lvl w:ilvl="0" w:tplc="3D24002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B41AFB"/>
    <w:multiLevelType w:val="hybridMultilevel"/>
    <w:tmpl w:val="0D26EDFA"/>
    <w:lvl w:ilvl="0" w:tplc="484CE7C2">
      <w:start w:val="1"/>
      <w:numFmt w:val="decimal"/>
      <w:lvlText w:val="%1"/>
      <w:lvlJc w:val="left"/>
      <w:pPr>
        <w:tabs>
          <w:tab w:val="num" w:pos="360"/>
        </w:tabs>
        <w:ind w:left="284" w:hanging="284"/>
      </w:pPr>
      <w:rPr>
        <w:rFonts w:ascii="Helvetica 65 Medium" w:hAnsi="Helvetica 65 Medium" w:cs="Times New Roman" w:hint="default"/>
        <w:sz w:val="13"/>
      </w:rPr>
    </w:lvl>
    <w:lvl w:ilvl="1" w:tplc="B4EC4318" w:tentative="1">
      <w:start w:val="1"/>
      <w:numFmt w:val="bullet"/>
      <w:lvlText w:val="o"/>
      <w:lvlJc w:val="left"/>
      <w:pPr>
        <w:tabs>
          <w:tab w:val="num" w:pos="1440"/>
        </w:tabs>
        <w:ind w:left="1440" w:hanging="360"/>
      </w:pPr>
      <w:rPr>
        <w:rFonts w:ascii="Courier New" w:hAnsi="Courier New" w:hint="default"/>
      </w:rPr>
    </w:lvl>
    <w:lvl w:ilvl="2" w:tplc="4008F682" w:tentative="1">
      <w:start w:val="1"/>
      <w:numFmt w:val="bullet"/>
      <w:lvlText w:val=""/>
      <w:lvlJc w:val="left"/>
      <w:pPr>
        <w:tabs>
          <w:tab w:val="num" w:pos="2160"/>
        </w:tabs>
        <w:ind w:left="2160" w:hanging="360"/>
      </w:pPr>
      <w:rPr>
        <w:rFonts w:ascii="Wingdings" w:hAnsi="Wingdings" w:hint="default"/>
      </w:rPr>
    </w:lvl>
    <w:lvl w:ilvl="3" w:tplc="7188E05A" w:tentative="1">
      <w:start w:val="1"/>
      <w:numFmt w:val="bullet"/>
      <w:lvlText w:val=""/>
      <w:lvlJc w:val="left"/>
      <w:pPr>
        <w:tabs>
          <w:tab w:val="num" w:pos="2880"/>
        </w:tabs>
        <w:ind w:left="2880" w:hanging="360"/>
      </w:pPr>
      <w:rPr>
        <w:rFonts w:ascii="Symbol" w:hAnsi="Symbol" w:hint="default"/>
      </w:rPr>
    </w:lvl>
    <w:lvl w:ilvl="4" w:tplc="7CB243A6" w:tentative="1">
      <w:start w:val="1"/>
      <w:numFmt w:val="bullet"/>
      <w:lvlText w:val="o"/>
      <w:lvlJc w:val="left"/>
      <w:pPr>
        <w:tabs>
          <w:tab w:val="num" w:pos="3600"/>
        </w:tabs>
        <w:ind w:left="3600" w:hanging="360"/>
      </w:pPr>
      <w:rPr>
        <w:rFonts w:ascii="Courier New" w:hAnsi="Courier New" w:hint="default"/>
      </w:rPr>
    </w:lvl>
    <w:lvl w:ilvl="5" w:tplc="90E08104" w:tentative="1">
      <w:start w:val="1"/>
      <w:numFmt w:val="bullet"/>
      <w:lvlText w:val=""/>
      <w:lvlJc w:val="left"/>
      <w:pPr>
        <w:tabs>
          <w:tab w:val="num" w:pos="4320"/>
        </w:tabs>
        <w:ind w:left="4320" w:hanging="360"/>
      </w:pPr>
      <w:rPr>
        <w:rFonts w:ascii="Wingdings" w:hAnsi="Wingdings" w:hint="default"/>
      </w:rPr>
    </w:lvl>
    <w:lvl w:ilvl="6" w:tplc="13BA4ED8" w:tentative="1">
      <w:start w:val="1"/>
      <w:numFmt w:val="bullet"/>
      <w:lvlText w:val=""/>
      <w:lvlJc w:val="left"/>
      <w:pPr>
        <w:tabs>
          <w:tab w:val="num" w:pos="5040"/>
        </w:tabs>
        <w:ind w:left="5040" w:hanging="360"/>
      </w:pPr>
      <w:rPr>
        <w:rFonts w:ascii="Symbol" w:hAnsi="Symbol" w:hint="default"/>
      </w:rPr>
    </w:lvl>
    <w:lvl w:ilvl="7" w:tplc="426C8EBA" w:tentative="1">
      <w:start w:val="1"/>
      <w:numFmt w:val="bullet"/>
      <w:lvlText w:val="o"/>
      <w:lvlJc w:val="left"/>
      <w:pPr>
        <w:tabs>
          <w:tab w:val="num" w:pos="5760"/>
        </w:tabs>
        <w:ind w:left="5760" w:hanging="360"/>
      </w:pPr>
      <w:rPr>
        <w:rFonts w:ascii="Courier New" w:hAnsi="Courier New" w:hint="default"/>
      </w:rPr>
    </w:lvl>
    <w:lvl w:ilvl="8" w:tplc="13945570" w:tentative="1">
      <w:start w:val="1"/>
      <w:numFmt w:val="bullet"/>
      <w:lvlText w:val=""/>
      <w:lvlJc w:val="left"/>
      <w:pPr>
        <w:tabs>
          <w:tab w:val="num" w:pos="6480"/>
        </w:tabs>
        <w:ind w:left="6480" w:hanging="360"/>
      </w:pPr>
      <w:rPr>
        <w:rFonts w:ascii="Wingdings" w:hAnsi="Wingdings" w:hint="default"/>
      </w:rPr>
    </w:lvl>
  </w:abstractNum>
  <w:abstractNum w:abstractNumId="17">
    <w:nsid w:val="5ADD2027"/>
    <w:multiLevelType w:val="hybridMultilevel"/>
    <w:tmpl w:val="45E2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94ED4"/>
    <w:multiLevelType w:val="hybridMultilevel"/>
    <w:tmpl w:val="A29E2DA4"/>
    <w:lvl w:ilvl="0" w:tplc="1FF41D64">
      <w:start w:val="1"/>
      <w:numFmt w:val="bullet"/>
      <w:pStyle w:val="Dbulletpoint"/>
      <w:lvlText w:val="—"/>
      <w:lvlJc w:val="left"/>
      <w:pPr>
        <w:tabs>
          <w:tab w:val="num" w:pos="360"/>
        </w:tabs>
        <w:ind w:left="284" w:hanging="284"/>
      </w:pPr>
      <w:rPr>
        <w:rFonts w:ascii="Helvetica 45 Light" w:hAnsi="Helvetica 45 Light" w:hint="default"/>
        <w:sz w:val="20"/>
      </w:rPr>
    </w:lvl>
    <w:lvl w:ilvl="1" w:tplc="0B1EFC42" w:tentative="1">
      <w:start w:val="1"/>
      <w:numFmt w:val="bullet"/>
      <w:lvlText w:val="o"/>
      <w:lvlJc w:val="left"/>
      <w:pPr>
        <w:tabs>
          <w:tab w:val="num" w:pos="1440"/>
        </w:tabs>
        <w:ind w:left="1440" w:hanging="360"/>
      </w:pPr>
      <w:rPr>
        <w:rFonts w:ascii="Courier New" w:hAnsi="Courier New" w:hint="default"/>
      </w:rPr>
    </w:lvl>
    <w:lvl w:ilvl="2" w:tplc="1618D56E" w:tentative="1">
      <w:start w:val="1"/>
      <w:numFmt w:val="bullet"/>
      <w:lvlText w:val=""/>
      <w:lvlJc w:val="left"/>
      <w:pPr>
        <w:tabs>
          <w:tab w:val="num" w:pos="2160"/>
        </w:tabs>
        <w:ind w:left="2160" w:hanging="360"/>
      </w:pPr>
      <w:rPr>
        <w:rFonts w:ascii="Wingdings" w:hAnsi="Wingdings" w:hint="default"/>
      </w:rPr>
    </w:lvl>
    <w:lvl w:ilvl="3" w:tplc="84169E40" w:tentative="1">
      <w:start w:val="1"/>
      <w:numFmt w:val="bullet"/>
      <w:lvlText w:val=""/>
      <w:lvlJc w:val="left"/>
      <w:pPr>
        <w:tabs>
          <w:tab w:val="num" w:pos="2880"/>
        </w:tabs>
        <w:ind w:left="2880" w:hanging="360"/>
      </w:pPr>
      <w:rPr>
        <w:rFonts w:ascii="Symbol" w:hAnsi="Symbol" w:hint="default"/>
      </w:rPr>
    </w:lvl>
    <w:lvl w:ilvl="4" w:tplc="7558218E" w:tentative="1">
      <w:start w:val="1"/>
      <w:numFmt w:val="bullet"/>
      <w:lvlText w:val="o"/>
      <w:lvlJc w:val="left"/>
      <w:pPr>
        <w:tabs>
          <w:tab w:val="num" w:pos="3600"/>
        </w:tabs>
        <w:ind w:left="3600" w:hanging="360"/>
      </w:pPr>
      <w:rPr>
        <w:rFonts w:ascii="Courier New" w:hAnsi="Courier New" w:hint="default"/>
      </w:rPr>
    </w:lvl>
    <w:lvl w:ilvl="5" w:tplc="AF980CBA" w:tentative="1">
      <w:start w:val="1"/>
      <w:numFmt w:val="bullet"/>
      <w:lvlText w:val=""/>
      <w:lvlJc w:val="left"/>
      <w:pPr>
        <w:tabs>
          <w:tab w:val="num" w:pos="4320"/>
        </w:tabs>
        <w:ind w:left="4320" w:hanging="360"/>
      </w:pPr>
      <w:rPr>
        <w:rFonts w:ascii="Wingdings" w:hAnsi="Wingdings" w:hint="default"/>
      </w:rPr>
    </w:lvl>
    <w:lvl w:ilvl="6" w:tplc="BE4E30AC" w:tentative="1">
      <w:start w:val="1"/>
      <w:numFmt w:val="bullet"/>
      <w:lvlText w:val=""/>
      <w:lvlJc w:val="left"/>
      <w:pPr>
        <w:tabs>
          <w:tab w:val="num" w:pos="5040"/>
        </w:tabs>
        <w:ind w:left="5040" w:hanging="360"/>
      </w:pPr>
      <w:rPr>
        <w:rFonts w:ascii="Symbol" w:hAnsi="Symbol" w:hint="default"/>
      </w:rPr>
    </w:lvl>
    <w:lvl w:ilvl="7" w:tplc="C5F01EEE" w:tentative="1">
      <w:start w:val="1"/>
      <w:numFmt w:val="bullet"/>
      <w:lvlText w:val="o"/>
      <w:lvlJc w:val="left"/>
      <w:pPr>
        <w:tabs>
          <w:tab w:val="num" w:pos="5760"/>
        </w:tabs>
        <w:ind w:left="5760" w:hanging="360"/>
      </w:pPr>
      <w:rPr>
        <w:rFonts w:ascii="Courier New" w:hAnsi="Courier New" w:hint="default"/>
      </w:rPr>
    </w:lvl>
    <w:lvl w:ilvl="8" w:tplc="E1D2ECD8" w:tentative="1">
      <w:start w:val="1"/>
      <w:numFmt w:val="bullet"/>
      <w:lvlText w:val=""/>
      <w:lvlJc w:val="left"/>
      <w:pPr>
        <w:tabs>
          <w:tab w:val="num" w:pos="6480"/>
        </w:tabs>
        <w:ind w:left="6480" w:hanging="360"/>
      </w:pPr>
      <w:rPr>
        <w:rFonts w:ascii="Wingdings" w:hAnsi="Wingdings" w:hint="default"/>
      </w:rPr>
    </w:lvl>
  </w:abstractNum>
  <w:abstractNum w:abstractNumId="19">
    <w:nsid w:val="602B11FE"/>
    <w:multiLevelType w:val="hybridMultilevel"/>
    <w:tmpl w:val="C60428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60CB1EE9"/>
    <w:multiLevelType w:val="hybridMultilevel"/>
    <w:tmpl w:val="D7627E0A"/>
    <w:lvl w:ilvl="0" w:tplc="66F686D4">
      <w:numFmt w:val="bullet"/>
      <w:lvlText w:val="-"/>
      <w:lvlJc w:val="left"/>
      <w:pPr>
        <w:ind w:left="720" w:hanging="360"/>
      </w:pPr>
      <w:rPr>
        <w:rFonts w:ascii="Calibri" w:eastAsia="SimSun" w:hAnsi="Calibri" w:hint="default"/>
      </w:rPr>
    </w:lvl>
    <w:lvl w:ilvl="1" w:tplc="08130003">
      <w:start w:val="1"/>
      <w:numFmt w:val="decimal"/>
      <w:lvlText w:val="%2."/>
      <w:lvlJc w:val="left"/>
      <w:pPr>
        <w:tabs>
          <w:tab w:val="num" w:pos="1440"/>
        </w:tabs>
        <w:ind w:left="1440" w:hanging="360"/>
      </w:pPr>
      <w:rPr>
        <w:rFonts w:cs="Times New Roman"/>
      </w:rPr>
    </w:lvl>
    <w:lvl w:ilvl="2" w:tplc="08130005">
      <w:start w:val="1"/>
      <w:numFmt w:val="decimal"/>
      <w:lvlText w:val="%3."/>
      <w:lvlJc w:val="left"/>
      <w:pPr>
        <w:tabs>
          <w:tab w:val="num" w:pos="2160"/>
        </w:tabs>
        <w:ind w:left="2160" w:hanging="360"/>
      </w:pPr>
      <w:rPr>
        <w:rFonts w:cs="Times New Roman"/>
      </w:rPr>
    </w:lvl>
    <w:lvl w:ilvl="3" w:tplc="08130001">
      <w:start w:val="1"/>
      <w:numFmt w:val="decimal"/>
      <w:lvlText w:val="%4."/>
      <w:lvlJc w:val="left"/>
      <w:pPr>
        <w:tabs>
          <w:tab w:val="num" w:pos="2880"/>
        </w:tabs>
        <w:ind w:left="2880" w:hanging="360"/>
      </w:pPr>
      <w:rPr>
        <w:rFonts w:cs="Times New Roman"/>
      </w:rPr>
    </w:lvl>
    <w:lvl w:ilvl="4" w:tplc="08130003">
      <w:start w:val="1"/>
      <w:numFmt w:val="decimal"/>
      <w:lvlText w:val="%5."/>
      <w:lvlJc w:val="left"/>
      <w:pPr>
        <w:tabs>
          <w:tab w:val="num" w:pos="3600"/>
        </w:tabs>
        <w:ind w:left="3600" w:hanging="360"/>
      </w:pPr>
      <w:rPr>
        <w:rFonts w:cs="Times New Roman"/>
      </w:rPr>
    </w:lvl>
    <w:lvl w:ilvl="5" w:tplc="08130005">
      <w:start w:val="1"/>
      <w:numFmt w:val="decimal"/>
      <w:lvlText w:val="%6."/>
      <w:lvlJc w:val="left"/>
      <w:pPr>
        <w:tabs>
          <w:tab w:val="num" w:pos="4320"/>
        </w:tabs>
        <w:ind w:left="4320" w:hanging="360"/>
      </w:pPr>
      <w:rPr>
        <w:rFonts w:cs="Times New Roman"/>
      </w:rPr>
    </w:lvl>
    <w:lvl w:ilvl="6" w:tplc="08130001">
      <w:start w:val="1"/>
      <w:numFmt w:val="decimal"/>
      <w:lvlText w:val="%7."/>
      <w:lvlJc w:val="left"/>
      <w:pPr>
        <w:tabs>
          <w:tab w:val="num" w:pos="5040"/>
        </w:tabs>
        <w:ind w:left="5040" w:hanging="360"/>
      </w:pPr>
      <w:rPr>
        <w:rFonts w:cs="Times New Roman"/>
      </w:rPr>
    </w:lvl>
    <w:lvl w:ilvl="7" w:tplc="08130003">
      <w:start w:val="1"/>
      <w:numFmt w:val="decimal"/>
      <w:lvlText w:val="%8."/>
      <w:lvlJc w:val="left"/>
      <w:pPr>
        <w:tabs>
          <w:tab w:val="num" w:pos="5760"/>
        </w:tabs>
        <w:ind w:left="5760" w:hanging="360"/>
      </w:pPr>
      <w:rPr>
        <w:rFonts w:cs="Times New Roman"/>
      </w:rPr>
    </w:lvl>
    <w:lvl w:ilvl="8" w:tplc="08130005">
      <w:start w:val="1"/>
      <w:numFmt w:val="decimal"/>
      <w:lvlText w:val="%9."/>
      <w:lvlJc w:val="left"/>
      <w:pPr>
        <w:tabs>
          <w:tab w:val="num" w:pos="6480"/>
        </w:tabs>
        <w:ind w:left="6480" w:hanging="360"/>
      </w:pPr>
      <w:rPr>
        <w:rFonts w:cs="Times New Roman"/>
      </w:rPr>
    </w:lvl>
  </w:abstractNum>
  <w:abstractNum w:abstractNumId="21">
    <w:nsid w:val="62301F9D"/>
    <w:multiLevelType w:val="hybridMultilevel"/>
    <w:tmpl w:val="EBC8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E052C1"/>
    <w:multiLevelType w:val="hybridMultilevel"/>
    <w:tmpl w:val="F9A0211A"/>
    <w:lvl w:ilvl="0" w:tplc="52364D94">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F0777B"/>
    <w:multiLevelType w:val="hybridMultilevel"/>
    <w:tmpl w:val="0A5CC8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66B62568"/>
    <w:multiLevelType w:val="hybridMultilevel"/>
    <w:tmpl w:val="9EBC3B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nsid w:val="6A9B1DA2"/>
    <w:multiLevelType w:val="hybridMultilevel"/>
    <w:tmpl w:val="1A14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ED5C7E"/>
    <w:multiLevelType w:val="hybridMultilevel"/>
    <w:tmpl w:val="878C89E6"/>
    <w:lvl w:ilvl="0" w:tplc="52364D94">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CF3ED8"/>
    <w:multiLevelType w:val="hybridMultilevel"/>
    <w:tmpl w:val="3CCA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2F27A8"/>
    <w:multiLevelType w:val="hybridMultilevel"/>
    <w:tmpl w:val="141860D6"/>
    <w:lvl w:ilvl="0" w:tplc="5F584818">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nsid w:val="77A957F7"/>
    <w:multiLevelType w:val="hybridMultilevel"/>
    <w:tmpl w:val="DE4A7FAE"/>
    <w:lvl w:ilvl="0" w:tplc="9C526244">
      <w:start w:val="1"/>
      <w:numFmt w:val="bullet"/>
      <w:lvlText w:val="-"/>
      <w:lvlJc w:val="left"/>
      <w:pPr>
        <w:tabs>
          <w:tab w:val="num" w:pos="720"/>
        </w:tabs>
        <w:ind w:left="720" w:hanging="360"/>
      </w:pPr>
      <w:rPr>
        <w:rFonts w:ascii="Times New Roman" w:hAnsi="Times New Roman" w:hint="default"/>
      </w:rPr>
    </w:lvl>
    <w:lvl w:ilvl="1" w:tplc="328C9000" w:tentative="1">
      <w:start w:val="1"/>
      <w:numFmt w:val="bullet"/>
      <w:lvlText w:val="-"/>
      <w:lvlJc w:val="left"/>
      <w:pPr>
        <w:tabs>
          <w:tab w:val="num" w:pos="1440"/>
        </w:tabs>
        <w:ind w:left="1440" w:hanging="360"/>
      </w:pPr>
      <w:rPr>
        <w:rFonts w:ascii="Times New Roman" w:hAnsi="Times New Roman" w:hint="default"/>
      </w:rPr>
    </w:lvl>
    <w:lvl w:ilvl="2" w:tplc="E690CE38" w:tentative="1">
      <w:start w:val="1"/>
      <w:numFmt w:val="bullet"/>
      <w:lvlText w:val="-"/>
      <w:lvlJc w:val="left"/>
      <w:pPr>
        <w:tabs>
          <w:tab w:val="num" w:pos="2160"/>
        </w:tabs>
        <w:ind w:left="2160" w:hanging="360"/>
      </w:pPr>
      <w:rPr>
        <w:rFonts w:ascii="Times New Roman" w:hAnsi="Times New Roman" w:hint="default"/>
      </w:rPr>
    </w:lvl>
    <w:lvl w:ilvl="3" w:tplc="C4B84E34" w:tentative="1">
      <w:start w:val="1"/>
      <w:numFmt w:val="bullet"/>
      <w:lvlText w:val="-"/>
      <w:lvlJc w:val="left"/>
      <w:pPr>
        <w:tabs>
          <w:tab w:val="num" w:pos="2880"/>
        </w:tabs>
        <w:ind w:left="2880" w:hanging="360"/>
      </w:pPr>
      <w:rPr>
        <w:rFonts w:ascii="Times New Roman" w:hAnsi="Times New Roman" w:hint="default"/>
      </w:rPr>
    </w:lvl>
    <w:lvl w:ilvl="4" w:tplc="A1AA7818" w:tentative="1">
      <w:start w:val="1"/>
      <w:numFmt w:val="bullet"/>
      <w:lvlText w:val="-"/>
      <w:lvlJc w:val="left"/>
      <w:pPr>
        <w:tabs>
          <w:tab w:val="num" w:pos="3600"/>
        </w:tabs>
        <w:ind w:left="3600" w:hanging="360"/>
      </w:pPr>
      <w:rPr>
        <w:rFonts w:ascii="Times New Roman" w:hAnsi="Times New Roman" w:hint="default"/>
      </w:rPr>
    </w:lvl>
    <w:lvl w:ilvl="5" w:tplc="BBC04A28" w:tentative="1">
      <w:start w:val="1"/>
      <w:numFmt w:val="bullet"/>
      <w:lvlText w:val="-"/>
      <w:lvlJc w:val="left"/>
      <w:pPr>
        <w:tabs>
          <w:tab w:val="num" w:pos="4320"/>
        </w:tabs>
        <w:ind w:left="4320" w:hanging="360"/>
      </w:pPr>
      <w:rPr>
        <w:rFonts w:ascii="Times New Roman" w:hAnsi="Times New Roman" w:hint="default"/>
      </w:rPr>
    </w:lvl>
    <w:lvl w:ilvl="6" w:tplc="70AE3652" w:tentative="1">
      <w:start w:val="1"/>
      <w:numFmt w:val="bullet"/>
      <w:lvlText w:val="-"/>
      <w:lvlJc w:val="left"/>
      <w:pPr>
        <w:tabs>
          <w:tab w:val="num" w:pos="5040"/>
        </w:tabs>
        <w:ind w:left="5040" w:hanging="360"/>
      </w:pPr>
      <w:rPr>
        <w:rFonts w:ascii="Times New Roman" w:hAnsi="Times New Roman" w:hint="default"/>
      </w:rPr>
    </w:lvl>
    <w:lvl w:ilvl="7" w:tplc="7786B97C" w:tentative="1">
      <w:start w:val="1"/>
      <w:numFmt w:val="bullet"/>
      <w:lvlText w:val="-"/>
      <w:lvlJc w:val="left"/>
      <w:pPr>
        <w:tabs>
          <w:tab w:val="num" w:pos="5760"/>
        </w:tabs>
        <w:ind w:left="5760" w:hanging="360"/>
      </w:pPr>
      <w:rPr>
        <w:rFonts w:ascii="Times New Roman" w:hAnsi="Times New Roman" w:hint="default"/>
      </w:rPr>
    </w:lvl>
    <w:lvl w:ilvl="8" w:tplc="7B4EFB7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8FA4F27"/>
    <w:multiLevelType w:val="hybridMultilevel"/>
    <w:tmpl w:val="93303B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7A487457"/>
    <w:multiLevelType w:val="hybridMultilevel"/>
    <w:tmpl w:val="E9D0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E2148A"/>
    <w:multiLevelType w:val="hybridMultilevel"/>
    <w:tmpl w:val="66F89EA0"/>
    <w:lvl w:ilvl="0" w:tplc="FAF6476A">
      <w:start w:val="1"/>
      <w:numFmt w:val="bullet"/>
      <w:pStyle w:val="LMBullet2white"/>
      <w:lvlText w:val="–"/>
      <w:lvlJc w:val="left"/>
      <w:pPr>
        <w:tabs>
          <w:tab w:val="num" w:pos="283"/>
        </w:tabs>
        <w:ind w:left="283" w:firstLine="1"/>
      </w:pPr>
      <w:rPr>
        <w:rFonts w:ascii="Verdana" w:hAnsi="Verdana"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num w:numId="1">
    <w:abstractNumId w:val="16"/>
  </w:num>
  <w:num w:numId="2">
    <w:abstractNumId w:val="18"/>
  </w:num>
  <w:num w:numId="3">
    <w:abstractNumId w:val="1"/>
  </w:num>
  <w:num w:numId="4">
    <w:abstractNumId w:val="5"/>
  </w:num>
  <w:num w:numId="5">
    <w:abstractNumId w:val="22"/>
  </w:num>
  <w:num w:numId="6">
    <w:abstractNumId w:val="26"/>
  </w:num>
  <w:num w:numId="7">
    <w:abstractNumId w:val="9"/>
  </w:num>
  <w:num w:numId="8">
    <w:abstractNumId w:val="4"/>
  </w:num>
  <w:num w:numId="9">
    <w:abstractNumId w:val="6"/>
  </w:num>
  <w:num w:numId="10">
    <w:abstractNumId w:val="19"/>
  </w:num>
  <w:num w:numId="11">
    <w:abstractNumId w:val="25"/>
  </w:num>
  <w:num w:numId="12">
    <w:abstractNumId w:val="17"/>
  </w:num>
  <w:num w:numId="13">
    <w:abstractNumId w:val="15"/>
  </w:num>
  <w:num w:numId="14">
    <w:abstractNumId w:val="31"/>
  </w:num>
  <w:num w:numId="15">
    <w:abstractNumId w:val="8"/>
  </w:num>
  <w:num w:numId="16">
    <w:abstractNumId w:val="29"/>
  </w:num>
  <w:num w:numId="17">
    <w:abstractNumId w:val="0"/>
  </w:num>
  <w:num w:numId="18">
    <w:abstractNumId w:val="3"/>
  </w:num>
  <w:num w:numId="19">
    <w:abstractNumId w:val="14"/>
  </w:num>
  <w:num w:numId="20">
    <w:abstractNumId w:val="10"/>
  </w:num>
  <w:num w:numId="21">
    <w:abstractNumId w:val="7"/>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
  </w:num>
  <w:num w:numId="25">
    <w:abstractNumId w:val="21"/>
  </w:num>
  <w:num w:numId="26">
    <w:abstractNumId w:val="11"/>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attachedTemplate r:id="rId1"/>
  <w:stylePaneFormatFilter w:val="1008"/>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01E2"/>
    <w:rsid w:val="00002016"/>
    <w:rsid w:val="00005D4C"/>
    <w:rsid w:val="00006A68"/>
    <w:rsid w:val="0001211C"/>
    <w:rsid w:val="0001654F"/>
    <w:rsid w:val="000425AA"/>
    <w:rsid w:val="00042FE4"/>
    <w:rsid w:val="000455C0"/>
    <w:rsid w:val="000514DE"/>
    <w:rsid w:val="00053321"/>
    <w:rsid w:val="00061E22"/>
    <w:rsid w:val="00064BFD"/>
    <w:rsid w:val="00072098"/>
    <w:rsid w:val="000800E8"/>
    <w:rsid w:val="00081D10"/>
    <w:rsid w:val="00086675"/>
    <w:rsid w:val="00087C88"/>
    <w:rsid w:val="0009536E"/>
    <w:rsid w:val="000A353F"/>
    <w:rsid w:val="000B013B"/>
    <w:rsid w:val="000B391C"/>
    <w:rsid w:val="000B4710"/>
    <w:rsid w:val="000B7F49"/>
    <w:rsid w:val="000C1280"/>
    <w:rsid w:val="000C12CE"/>
    <w:rsid w:val="000C3046"/>
    <w:rsid w:val="000C3E97"/>
    <w:rsid w:val="000C5333"/>
    <w:rsid w:val="000C7B93"/>
    <w:rsid w:val="000D00FA"/>
    <w:rsid w:val="000D102E"/>
    <w:rsid w:val="000D332B"/>
    <w:rsid w:val="000D6771"/>
    <w:rsid w:val="000D7B59"/>
    <w:rsid w:val="000E01FC"/>
    <w:rsid w:val="000E21E7"/>
    <w:rsid w:val="000E30AC"/>
    <w:rsid w:val="000E333A"/>
    <w:rsid w:val="000E3602"/>
    <w:rsid w:val="000E3EAF"/>
    <w:rsid w:val="000E6C58"/>
    <w:rsid w:val="000E6ECE"/>
    <w:rsid w:val="000F2E48"/>
    <w:rsid w:val="000F6DCA"/>
    <w:rsid w:val="00103DC1"/>
    <w:rsid w:val="00104134"/>
    <w:rsid w:val="0010600F"/>
    <w:rsid w:val="001063D1"/>
    <w:rsid w:val="001067D2"/>
    <w:rsid w:val="00111632"/>
    <w:rsid w:val="0011637E"/>
    <w:rsid w:val="00120298"/>
    <w:rsid w:val="001207F1"/>
    <w:rsid w:val="001262B8"/>
    <w:rsid w:val="001267A1"/>
    <w:rsid w:val="00132BBE"/>
    <w:rsid w:val="00132D38"/>
    <w:rsid w:val="00133B30"/>
    <w:rsid w:val="00134FE3"/>
    <w:rsid w:val="001371B7"/>
    <w:rsid w:val="00142DFF"/>
    <w:rsid w:val="00144648"/>
    <w:rsid w:val="00145997"/>
    <w:rsid w:val="001465F3"/>
    <w:rsid w:val="00146D77"/>
    <w:rsid w:val="001501E2"/>
    <w:rsid w:val="00150BA1"/>
    <w:rsid w:val="00151103"/>
    <w:rsid w:val="0015797B"/>
    <w:rsid w:val="00157A7B"/>
    <w:rsid w:val="00162C20"/>
    <w:rsid w:val="00164F4A"/>
    <w:rsid w:val="00165ADC"/>
    <w:rsid w:val="00171E03"/>
    <w:rsid w:val="001773A0"/>
    <w:rsid w:val="00180B9F"/>
    <w:rsid w:val="00181C45"/>
    <w:rsid w:val="00182C67"/>
    <w:rsid w:val="001839F2"/>
    <w:rsid w:val="00183BE0"/>
    <w:rsid w:val="00187D3D"/>
    <w:rsid w:val="0019333C"/>
    <w:rsid w:val="00193A27"/>
    <w:rsid w:val="001941FC"/>
    <w:rsid w:val="001969A2"/>
    <w:rsid w:val="001A223D"/>
    <w:rsid w:val="001A4292"/>
    <w:rsid w:val="001A4703"/>
    <w:rsid w:val="001A4746"/>
    <w:rsid w:val="001A6AB0"/>
    <w:rsid w:val="001B0A21"/>
    <w:rsid w:val="001B0EBF"/>
    <w:rsid w:val="001B2734"/>
    <w:rsid w:val="001B59EB"/>
    <w:rsid w:val="001C0513"/>
    <w:rsid w:val="001C211F"/>
    <w:rsid w:val="001C257C"/>
    <w:rsid w:val="001C4300"/>
    <w:rsid w:val="001C4C57"/>
    <w:rsid w:val="001C4EB0"/>
    <w:rsid w:val="001C7B92"/>
    <w:rsid w:val="001E0E64"/>
    <w:rsid w:val="001E11D7"/>
    <w:rsid w:val="001E1818"/>
    <w:rsid w:val="001E3E9E"/>
    <w:rsid w:val="001E68A8"/>
    <w:rsid w:val="001F349D"/>
    <w:rsid w:val="001F6787"/>
    <w:rsid w:val="002008E4"/>
    <w:rsid w:val="00202FAA"/>
    <w:rsid w:val="00206B19"/>
    <w:rsid w:val="00213738"/>
    <w:rsid w:val="00216BAB"/>
    <w:rsid w:val="002257D4"/>
    <w:rsid w:val="0023328B"/>
    <w:rsid w:val="002339FC"/>
    <w:rsid w:val="00234520"/>
    <w:rsid w:val="00243891"/>
    <w:rsid w:val="00243A74"/>
    <w:rsid w:val="00244811"/>
    <w:rsid w:val="00246232"/>
    <w:rsid w:val="002538A6"/>
    <w:rsid w:val="00264BE6"/>
    <w:rsid w:val="00265F20"/>
    <w:rsid w:val="0026683E"/>
    <w:rsid w:val="0027020C"/>
    <w:rsid w:val="00270A7F"/>
    <w:rsid w:val="00272FE3"/>
    <w:rsid w:val="00276470"/>
    <w:rsid w:val="0027648E"/>
    <w:rsid w:val="002767DA"/>
    <w:rsid w:val="00284C1D"/>
    <w:rsid w:val="00286653"/>
    <w:rsid w:val="00293D34"/>
    <w:rsid w:val="002958F8"/>
    <w:rsid w:val="002A1253"/>
    <w:rsid w:val="002A133E"/>
    <w:rsid w:val="002A4BD3"/>
    <w:rsid w:val="002B142B"/>
    <w:rsid w:val="002B2C35"/>
    <w:rsid w:val="002B555F"/>
    <w:rsid w:val="002B6609"/>
    <w:rsid w:val="002C0D45"/>
    <w:rsid w:val="002C4D64"/>
    <w:rsid w:val="002D6A25"/>
    <w:rsid w:val="002D7A2C"/>
    <w:rsid w:val="002E510A"/>
    <w:rsid w:val="002F001F"/>
    <w:rsid w:val="002F4283"/>
    <w:rsid w:val="002F6FED"/>
    <w:rsid w:val="0030548C"/>
    <w:rsid w:val="00307E72"/>
    <w:rsid w:val="00307F18"/>
    <w:rsid w:val="0031073A"/>
    <w:rsid w:val="00315535"/>
    <w:rsid w:val="00316856"/>
    <w:rsid w:val="00316E17"/>
    <w:rsid w:val="00316F0F"/>
    <w:rsid w:val="00325CD8"/>
    <w:rsid w:val="00326390"/>
    <w:rsid w:val="0033282C"/>
    <w:rsid w:val="00332C51"/>
    <w:rsid w:val="00333F3D"/>
    <w:rsid w:val="003423E6"/>
    <w:rsid w:val="00345F09"/>
    <w:rsid w:val="003724D9"/>
    <w:rsid w:val="00375619"/>
    <w:rsid w:val="003814BF"/>
    <w:rsid w:val="00386107"/>
    <w:rsid w:val="003900BB"/>
    <w:rsid w:val="003912C0"/>
    <w:rsid w:val="00394314"/>
    <w:rsid w:val="00395B2C"/>
    <w:rsid w:val="003962BB"/>
    <w:rsid w:val="003A2862"/>
    <w:rsid w:val="003A6715"/>
    <w:rsid w:val="003B3174"/>
    <w:rsid w:val="003B5C65"/>
    <w:rsid w:val="003C10F9"/>
    <w:rsid w:val="003C3634"/>
    <w:rsid w:val="003C4503"/>
    <w:rsid w:val="003C4E97"/>
    <w:rsid w:val="003D3A90"/>
    <w:rsid w:val="003D6FF4"/>
    <w:rsid w:val="003E019D"/>
    <w:rsid w:val="003E0336"/>
    <w:rsid w:val="003E04C5"/>
    <w:rsid w:val="003E2EC0"/>
    <w:rsid w:val="003E4A5C"/>
    <w:rsid w:val="003F09A0"/>
    <w:rsid w:val="003F0FD3"/>
    <w:rsid w:val="003F1DE6"/>
    <w:rsid w:val="003F29D7"/>
    <w:rsid w:val="003F323E"/>
    <w:rsid w:val="003F7651"/>
    <w:rsid w:val="003F7EAC"/>
    <w:rsid w:val="003F7F86"/>
    <w:rsid w:val="004014BD"/>
    <w:rsid w:val="0040188F"/>
    <w:rsid w:val="004027EF"/>
    <w:rsid w:val="00403A83"/>
    <w:rsid w:val="00423DD2"/>
    <w:rsid w:val="00432B8B"/>
    <w:rsid w:val="0043580C"/>
    <w:rsid w:val="0043710A"/>
    <w:rsid w:val="00442563"/>
    <w:rsid w:val="00445FB5"/>
    <w:rsid w:val="00446A16"/>
    <w:rsid w:val="0044709B"/>
    <w:rsid w:val="00452032"/>
    <w:rsid w:val="00452238"/>
    <w:rsid w:val="00453D07"/>
    <w:rsid w:val="00453DCC"/>
    <w:rsid w:val="00454366"/>
    <w:rsid w:val="004547F9"/>
    <w:rsid w:val="00454CA9"/>
    <w:rsid w:val="00455B57"/>
    <w:rsid w:val="0046274F"/>
    <w:rsid w:val="00474266"/>
    <w:rsid w:val="0047638E"/>
    <w:rsid w:val="00477BF7"/>
    <w:rsid w:val="004805E3"/>
    <w:rsid w:val="0048761A"/>
    <w:rsid w:val="0049008F"/>
    <w:rsid w:val="004905FB"/>
    <w:rsid w:val="00491D0C"/>
    <w:rsid w:val="00492D3D"/>
    <w:rsid w:val="00493935"/>
    <w:rsid w:val="004940B0"/>
    <w:rsid w:val="00494AE0"/>
    <w:rsid w:val="0049590A"/>
    <w:rsid w:val="004A0CE7"/>
    <w:rsid w:val="004A1D48"/>
    <w:rsid w:val="004A3FBE"/>
    <w:rsid w:val="004A7927"/>
    <w:rsid w:val="004B10EF"/>
    <w:rsid w:val="004B29D1"/>
    <w:rsid w:val="004C16CC"/>
    <w:rsid w:val="004C1810"/>
    <w:rsid w:val="004C20AB"/>
    <w:rsid w:val="004C27EC"/>
    <w:rsid w:val="004C7C33"/>
    <w:rsid w:val="004C7E63"/>
    <w:rsid w:val="004D141C"/>
    <w:rsid w:val="004D46D4"/>
    <w:rsid w:val="004E02DD"/>
    <w:rsid w:val="004E0EF0"/>
    <w:rsid w:val="004F046A"/>
    <w:rsid w:val="004F3616"/>
    <w:rsid w:val="0050045B"/>
    <w:rsid w:val="00501E92"/>
    <w:rsid w:val="005027D5"/>
    <w:rsid w:val="00506939"/>
    <w:rsid w:val="00506D6F"/>
    <w:rsid w:val="0050784B"/>
    <w:rsid w:val="00512BBD"/>
    <w:rsid w:val="0052021C"/>
    <w:rsid w:val="00520D20"/>
    <w:rsid w:val="005257B2"/>
    <w:rsid w:val="00530C60"/>
    <w:rsid w:val="00532B23"/>
    <w:rsid w:val="00535595"/>
    <w:rsid w:val="00537DCC"/>
    <w:rsid w:val="005443B3"/>
    <w:rsid w:val="00544983"/>
    <w:rsid w:val="00546160"/>
    <w:rsid w:val="005474CD"/>
    <w:rsid w:val="00550ED9"/>
    <w:rsid w:val="0055323A"/>
    <w:rsid w:val="00555420"/>
    <w:rsid w:val="0055760F"/>
    <w:rsid w:val="005577EE"/>
    <w:rsid w:val="00560F21"/>
    <w:rsid w:val="005671E3"/>
    <w:rsid w:val="0056774C"/>
    <w:rsid w:val="00567C79"/>
    <w:rsid w:val="00570A2A"/>
    <w:rsid w:val="0057327D"/>
    <w:rsid w:val="00576674"/>
    <w:rsid w:val="00577FCF"/>
    <w:rsid w:val="00586C13"/>
    <w:rsid w:val="00586DD6"/>
    <w:rsid w:val="005921D7"/>
    <w:rsid w:val="00593826"/>
    <w:rsid w:val="00593FB9"/>
    <w:rsid w:val="00594182"/>
    <w:rsid w:val="005A3065"/>
    <w:rsid w:val="005A5242"/>
    <w:rsid w:val="005B3305"/>
    <w:rsid w:val="005B47A6"/>
    <w:rsid w:val="005C131D"/>
    <w:rsid w:val="005D0720"/>
    <w:rsid w:val="005D09AC"/>
    <w:rsid w:val="005D406D"/>
    <w:rsid w:val="005D56E4"/>
    <w:rsid w:val="005D7064"/>
    <w:rsid w:val="005E06CB"/>
    <w:rsid w:val="005E4F6B"/>
    <w:rsid w:val="005F033E"/>
    <w:rsid w:val="005F1733"/>
    <w:rsid w:val="00616295"/>
    <w:rsid w:val="006220C6"/>
    <w:rsid w:val="006226A7"/>
    <w:rsid w:val="00624F97"/>
    <w:rsid w:val="0062638B"/>
    <w:rsid w:val="00626EE8"/>
    <w:rsid w:val="00627201"/>
    <w:rsid w:val="00627C22"/>
    <w:rsid w:val="00630C43"/>
    <w:rsid w:val="006325D3"/>
    <w:rsid w:val="006333C8"/>
    <w:rsid w:val="0063551D"/>
    <w:rsid w:val="00637C18"/>
    <w:rsid w:val="00646527"/>
    <w:rsid w:val="00646ACE"/>
    <w:rsid w:val="00647816"/>
    <w:rsid w:val="00651C83"/>
    <w:rsid w:val="00652B70"/>
    <w:rsid w:val="00657B07"/>
    <w:rsid w:val="00665C5B"/>
    <w:rsid w:val="00670649"/>
    <w:rsid w:val="00670E22"/>
    <w:rsid w:val="00671657"/>
    <w:rsid w:val="006726CC"/>
    <w:rsid w:val="00674A62"/>
    <w:rsid w:val="00676344"/>
    <w:rsid w:val="0067662A"/>
    <w:rsid w:val="006802F3"/>
    <w:rsid w:val="00681087"/>
    <w:rsid w:val="00685049"/>
    <w:rsid w:val="006850BA"/>
    <w:rsid w:val="006876F5"/>
    <w:rsid w:val="00687C99"/>
    <w:rsid w:val="00690F18"/>
    <w:rsid w:val="0069380B"/>
    <w:rsid w:val="00696562"/>
    <w:rsid w:val="006A0526"/>
    <w:rsid w:val="006A4895"/>
    <w:rsid w:val="006A5704"/>
    <w:rsid w:val="006A77FF"/>
    <w:rsid w:val="006B26B5"/>
    <w:rsid w:val="006B2810"/>
    <w:rsid w:val="006B2925"/>
    <w:rsid w:val="006B3F42"/>
    <w:rsid w:val="006B53FE"/>
    <w:rsid w:val="006B7C8D"/>
    <w:rsid w:val="006C0C8F"/>
    <w:rsid w:val="006C3FB5"/>
    <w:rsid w:val="006D04BB"/>
    <w:rsid w:val="006D2D69"/>
    <w:rsid w:val="006D2EFB"/>
    <w:rsid w:val="006D3945"/>
    <w:rsid w:val="006D5BA3"/>
    <w:rsid w:val="006D69DE"/>
    <w:rsid w:val="006D729B"/>
    <w:rsid w:val="006E3D35"/>
    <w:rsid w:val="006E4DBF"/>
    <w:rsid w:val="006F0B9F"/>
    <w:rsid w:val="0070231C"/>
    <w:rsid w:val="00707A65"/>
    <w:rsid w:val="00716AB3"/>
    <w:rsid w:val="007218B2"/>
    <w:rsid w:val="007229C2"/>
    <w:rsid w:val="007251F9"/>
    <w:rsid w:val="00730828"/>
    <w:rsid w:val="007343D5"/>
    <w:rsid w:val="00736BD6"/>
    <w:rsid w:val="00740927"/>
    <w:rsid w:val="00741DFF"/>
    <w:rsid w:val="0074534E"/>
    <w:rsid w:val="00745E00"/>
    <w:rsid w:val="00746086"/>
    <w:rsid w:val="007471FC"/>
    <w:rsid w:val="00750985"/>
    <w:rsid w:val="007531D2"/>
    <w:rsid w:val="007633AC"/>
    <w:rsid w:val="007637C9"/>
    <w:rsid w:val="0076459E"/>
    <w:rsid w:val="00767153"/>
    <w:rsid w:val="00770868"/>
    <w:rsid w:val="00771636"/>
    <w:rsid w:val="00777AF0"/>
    <w:rsid w:val="00782285"/>
    <w:rsid w:val="00782904"/>
    <w:rsid w:val="007863D5"/>
    <w:rsid w:val="007864DA"/>
    <w:rsid w:val="00786AEF"/>
    <w:rsid w:val="00787696"/>
    <w:rsid w:val="00787B95"/>
    <w:rsid w:val="00790845"/>
    <w:rsid w:val="0079108B"/>
    <w:rsid w:val="00793923"/>
    <w:rsid w:val="00796160"/>
    <w:rsid w:val="007A01E2"/>
    <w:rsid w:val="007B1894"/>
    <w:rsid w:val="007B22B8"/>
    <w:rsid w:val="007B3F4A"/>
    <w:rsid w:val="007B467D"/>
    <w:rsid w:val="007C1869"/>
    <w:rsid w:val="007D0F6C"/>
    <w:rsid w:val="007D48C1"/>
    <w:rsid w:val="007D4D73"/>
    <w:rsid w:val="007D50BF"/>
    <w:rsid w:val="007E12E8"/>
    <w:rsid w:val="007E1AB1"/>
    <w:rsid w:val="007E595D"/>
    <w:rsid w:val="007F5127"/>
    <w:rsid w:val="007F55EE"/>
    <w:rsid w:val="007F5E30"/>
    <w:rsid w:val="007F71BF"/>
    <w:rsid w:val="007F7B42"/>
    <w:rsid w:val="007F7FAB"/>
    <w:rsid w:val="00802822"/>
    <w:rsid w:val="00802DD3"/>
    <w:rsid w:val="00804487"/>
    <w:rsid w:val="00804909"/>
    <w:rsid w:val="00804CF7"/>
    <w:rsid w:val="00807443"/>
    <w:rsid w:val="00816F99"/>
    <w:rsid w:val="00821A91"/>
    <w:rsid w:val="00822D16"/>
    <w:rsid w:val="008247ED"/>
    <w:rsid w:val="008301D8"/>
    <w:rsid w:val="008318AE"/>
    <w:rsid w:val="008333AB"/>
    <w:rsid w:val="0084145D"/>
    <w:rsid w:val="00844710"/>
    <w:rsid w:val="00844FE7"/>
    <w:rsid w:val="008454BF"/>
    <w:rsid w:val="00845F1F"/>
    <w:rsid w:val="0084658D"/>
    <w:rsid w:val="00852258"/>
    <w:rsid w:val="00853F5E"/>
    <w:rsid w:val="00855522"/>
    <w:rsid w:val="0085573E"/>
    <w:rsid w:val="008568DE"/>
    <w:rsid w:val="008621D9"/>
    <w:rsid w:val="008624EE"/>
    <w:rsid w:val="00862686"/>
    <w:rsid w:val="00864ADA"/>
    <w:rsid w:val="00864CB8"/>
    <w:rsid w:val="008709B4"/>
    <w:rsid w:val="00874E61"/>
    <w:rsid w:val="008772F1"/>
    <w:rsid w:val="00880E83"/>
    <w:rsid w:val="00884512"/>
    <w:rsid w:val="0088573C"/>
    <w:rsid w:val="00897D3F"/>
    <w:rsid w:val="008A0C62"/>
    <w:rsid w:val="008A1430"/>
    <w:rsid w:val="008A1C06"/>
    <w:rsid w:val="008A35CF"/>
    <w:rsid w:val="008A5269"/>
    <w:rsid w:val="008B05F2"/>
    <w:rsid w:val="008B32DF"/>
    <w:rsid w:val="008C233C"/>
    <w:rsid w:val="008C271B"/>
    <w:rsid w:val="008C4C30"/>
    <w:rsid w:val="008C76D9"/>
    <w:rsid w:val="008D0C23"/>
    <w:rsid w:val="008D0D2E"/>
    <w:rsid w:val="008D33B1"/>
    <w:rsid w:val="008D53FA"/>
    <w:rsid w:val="008E289E"/>
    <w:rsid w:val="008E4759"/>
    <w:rsid w:val="008F4B39"/>
    <w:rsid w:val="008F7F80"/>
    <w:rsid w:val="00905A6A"/>
    <w:rsid w:val="009065FC"/>
    <w:rsid w:val="00913275"/>
    <w:rsid w:val="0091454F"/>
    <w:rsid w:val="00914EE5"/>
    <w:rsid w:val="009154CD"/>
    <w:rsid w:val="009169BF"/>
    <w:rsid w:val="00917667"/>
    <w:rsid w:val="00923F9C"/>
    <w:rsid w:val="0092548C"/>
    <w:rsid w:val="00925D0B"/>
    <w:rsid w:val="009260B2"/>
    <w:rsid w:val="00927763"/>
    <w:rsid w:val="0093115D"/>
    <w:rsid w:val="00932521"/>
    <w:rsid w:val="00941229"/>
    <w:rsid w:val="00944EB7"/>
    <w:rsid w:val="00945482"/>
    <w:rsid w:val="00947E87"/>
    <w:rsid w:val="00947FC7"/>
    <w:rsid w:val="00951C5E"/>
    <w:rsid w:val="0095357F"/>
    <w:rsid w:val="00955504"/>
    <w:rsid w:val="00955994"/>
    <w:rsid w:val="00955F68"/>
    <w:rsid w:val="009664F0"/>
    <w:rsid w:val="00971D02"/>
    <w:rsid w:val="00974CEC"/>
    <w:rsid w:val="00980BB6"/>
    <w:rsid w:val="00981646"/>
    <w:rsid w:val="009838A0"/>
    <w:rsid w:val="00984AF4"/>
    <w:rsid w:val="00985F18"/>
    <w:rsid w:val="00987AD5"/>
    <w:rsid w:val="009912A7"/>
    <w:rsid w:val="00997436"/>
    <w:rsid w:val="009A2DA4"/>
    <w:rsid w:val="009A3398"/>
    <w:rsid w:val="009A34ED"/>
    <w:rsid w:val="009A3CDA"/>
    <w:rsid w:val="009A46E7"/>
    <w:rsid w:val="009A6A03"/>
    <w:rsid w:val="009B3691"/>
    <w:rsid w:val="009B572E"/>
    <w:rsid w:val="009C1B25"/>
    <w:rsid w:val="009C27EB"/>
    <w:rsid w:val="009C5639"/>
    <w:rsid w:val="009D6379"/>
    <w:rsid w:val="009E21C8"/>
    <w:rsid w:val="009E30C8"/>
    <w:rsid w:val="009E3917"/>
    <w:rsid w:val="009E3A12"/>
    <w:rsid w:val="009E3D16"/>
    <w:rsid w:val="009E416C"/>
    <w:rsid w:val="009E439D"/>
    <w:rsid w:val="009E7448"/>
    <w:rsid w:val="009E796E"/>
    <w:rsid w:val="009E7BF5"/>
    <w:rsid w:val="009F16AA"/>
    <w:rsid w:val="009F38F9"/>
    <w:rsid w:val="009F6A8F"/>
    <w:rsid w:val="009F7669"/>
    <w:rsid w:val="00A06AFB"/>
    <w:rsid w:val="00A11361"/>
    <w:rsid w:val="00A15D94"/>
    <w:rsid w:val="00A274D7"/>
    <w:rsid w:val="00A30D7E"/>
    <w:rsid w:val="00A31BD7"/>
    <w:rsid w:val="00A34B30"/>
    <w:rsid w:val="00A35363"/>
    <w:rsid w:val="00A36059"/>
    <w:rsid w:val="00A37790"/>
    <w:rsid w:val="00A413A1"/>
    <w:rsid w:val="00A457AA"/>
    <w:rsid w:val="00A45C32"/>
    <w:rsid w:val="00A47FE3"/>
    <w:rsid w:val="00A50D81"/>
    <w:rsid w:val="00A56755"/>
    <w:rsid w:val="00A57ADF"/>
    <w:rsid w:val="00A740A6"/>
    <w:rsid w:val="00A74C92"/>
    <w:rsid w:val="00A86E1F"/>
    <w:rsid w:val="00A87B9B"/>
    <w:rsid w:val="00A9530E"/>
    <w:rsid w:val="00A97E22"/>
    <w:rsid w:val="00AA0B42"/>
    <w:rsid w:val="00AA17A8"/>
    <w:rsid w:val="00AA3996"/>
    <w:rsid w:val="00AA4D79"/>
    <w:rsid w:val="00AA5181"/>
    <w:rsid w:val="00AA5C82"/>
    <w:rsid w:val="00AA674C"/>
    <w:rsid w:val="00AA72BB"/>
    <w:rsid w:val="00AB575B"/>
    <w:rsid w:val="00AC0997"/>
    <w:rsid w:val="00AC3DAD"/>
    <w:rsid w:val="00AC4A7D"/>
    <w:rsid w:val="00AD06A3"/>
    <w:rsid w:val="00AD0845"/>
    <w:rsid w:val="00AD1430"/>
    <w:rsid w:val="00AD3210"/>
    <w:rsid w:val="00AD78DC"/>
    <w:rsid w:val="00AE0D4C"/>
    <w:rsid w:val="00AE45B1"/>
    <w:rsid w:val="00AE6FA3"/>
    <w:rsid w:val="00B01910"/>
    <w:rsid w:val="00B03E93"/>
    <w:rsid w:val="00B1057B"/>
    <w:rsid w:val="00B126A2"/>
    <w:rsid w:val="00B12BCE"/>
    <w:rsid w:val="00B12D6F"/>
    <w:rsid w:val="00B143AC"/>
    <w:rsid w:val="00B159DA"/>
    <w:rsid w:val="00B20A5F"/>
    <w:rsid w:val="00B23F56"/>
    <w:rsid w:val="00B3379F"/>
    <w:rsid w:val="00B33C4C"/>
    <w:rsid w:val="00B372FE"/>
    <w:rsid w:val="00B44D16"/>
    <w:rsid w:val="00B521A0"/>
    <w:rsid w:val="00B54980"/>
    <w:rsid w:val="00B61A69"/>
    <w:rsid w:val="00B74626"/>
    <w:rsid w:val="00B82228"/>
    <w:rsid w:val="00B8301C"/>
    <w:rsid w:val="00B83C0C"/>
    <w:rsid w:val="00B8592E"/>
    <w:rsid w:val="00B85956"/>
    <w:rsid w:val="00B86923"/>
    <w:rsid w:val="00B92F78"/>
    <w:rsid w:val="00BA1470"/>
    <w:rsid w:val="00BA206D"/>
    <w:rsid w:val="00BA5BD0"/>
    <w:rsid w:val="00BB0765"/>
    <w:rsid w:val="00BB5DDC"/>
    <w:rsid w:val="00BB644E"/>
    <w:rsid w:val="00BB6862"/>
    <w:rsid w:val="00BB7767"/>
    <w:rsid w:val="00BC29BD"/>
    <w:rsid w:val="00BC35E5"/>
    <w:rsid w:val="00BC5182"/>
    <w:rsid w:val="00BD1C05"/>
    <w:rsid w:val="00BD3777"/>
    <w:rsid w:val="00BD3C68"/>
    <w:rsid w:val="00BD4984"/>
    <w:rsid w:val="00BD4CB7"/>
    <w:rsid w:val="00BD4F37"/>
    <w:rsid w:val="00BD568E"/>
    <w:rsid w:val="00BD5BF5"/>
    <w:rsid w:val="00BD78DA"/>
    <w:rsid w:val="00BF0B84"/>
    <w:rsid w:val="00BF0DCA"/>
    <w:rsid w:val="00BF540A"/>
    <w:rsid w:val="00C0005A"/>
    <w:rsid w:val="00C030EB"/>
    <w:rsid w:val="00C047CC"/>
    <w:rsid w:val="00C11B7B"/>
    <w:rsid w:val="00C13958"/>
    <w:rsid w:val="00C1409A"/>
    <w:rsid w:val="00C16211"/>
    <w:rsid w:val="00C24D0E"/>
    <w:rsid w:val="00C3184E"/>
    <w:rsid w:val="00C32536"/>
    <w:rsid w:val="00C329C2"/>
    <w:rsid w:val="00C32D0A"/>
    <w:rsid w:val="00C36928"/>
    <w:rsid w:val="00C40101"/>
    <w:rsid w:val="00C45567"/>
    <w:rsid w:val="00C50B7C"/>
    <w:rsid w:val="00C53B28"/>
    <w:rsid w:val="00C546C8"/>
    <w:rsid w:val="00C61453"/>
    <w:rsid w:val="00C72919"/>
    <w:rsid w:val="00C76E3B"/>
    <w:rsid w:val="00C81509"/>
    <w:rsid w:val="00C83EE8"/>
    <w:rsid w:val="00C84588"/>
    <w:rsid w:val="00C95680"/>
    <w:rsid w:val="00CA295E"/>
    <w:rsid w:val="00CA7C3E"/>
    <w:rsid w:val="00CB5A27"/>
    <w:rsid w:val="00CB6B31"/>
    <w:rsid w:val="00CC063C"/>
    <w:rsid w:val="00CC27C5"/>
    <w:rsid w:val="00CC44D3"/>
    <w:rsid w:val="00CE0DB8"/>
    <w:rsid w:val="00CE33F4"/>
    <w:rsid w:val="00CE3556"/>
    <w:rsid w:val="00CE3D16"/>
    <w:rsid w:val="00CF097B"/>
    <w:rsid w:val="00CF7774"/>
    <w:rsid w:val="00D046A1"/>
    <w:rsid w:val="00D077AE"/>
    <w:rsid w:val="00D106C8"/>
    <w:rsid w:val="00D12C4D"/>
    <w:rsid w:val="00D16BA6"/>
    <w:rsid w:val="00D1718A"/>
    <w:rsid w:val="00D21A11"/>
    <w:rsid w:val="00D3161D"/>
    <w:rsid w:val="00D32B5F"/>
    <w:rsid w:val="00D408E3"/>
    <w:rsid w:val="00D4136F"/>
    <w:rsid w:val="00D447FE"/>
    <w:rsid w:val="00D50404"/>
    <w:rsid w:val="00D531CF"/>
    <w:rsid w:val="00D5397E"/>
    <w:rsid w:val="00D53BCA"/>
    <w:rsid w:val="00D57311"/>
    <w:rsid w:val="00D60167"/>
    <w:rsid w:val="00D660D2"/>
    <w:rsid w:val="00D71086"/>
    <w:rsid w:val="00D734E3"/>
    <w:rsid w:val="00D77445"/>
    <w:rsid w:val="00D8317A"/>
    <w:rsid w:val="00D8414B"/>
    <w:rsid w:val="00D91CBF"/>
    <w:rsid w:val="00D95804"/>
    <w:rsid w:val="00DA6703"/>
    <w:rsid w:val="00DA6D9E"/>
    <w:rsid w:val="00DB41ED"/>
    <w:rsid w:val="00DB47FE"/>
    <w:rsid w:val="00DB4BB7"/>
    <w:rsid w:val="00DB55ED"/>
    <w:rsid w:val="00DB67EC"/>
    <w:rsid w:val="00DB73C0"/>
    <w:rsid w:val="00DB7C91"/>
    <w:rsid w:val="00DC72D7"/>
    <w:rsid w:val="00DD029D"/>
    <w:rsid w:val="00DD3D74"/>
    <w:rsid w:val="00DD4AA1"/>
    <w:rsid w:val="00DD58A6"/>
    <w:rsid w:val="00DE0474"/>
    <w:rsid w:val="00DF07A6"/>
    <w:rsid w:val="00DF3941"/>
    <w:rsid w:val="00DF3A3D"/>
    <w:rsid w:val="00DF4D07"/>
    <w:rsid w:val="00E01689"/>
    <w:rsid w:val="00E11DC6"/>
    <w:rsid w:val="00E14504"/>
    <w:rsid w:val="00E22599"/>
    <w:rsid w:val="00E26967"/>
    <w:rsid w:val="00E27954"/>
    <w:rsid w:val="00E32491"/>
    <w:rsid w:val="00E3473E"/>
    <w:rsid w:val="00E36975"/>
    <w:rsid w:val="00E41128"/>
    <w:rsid w:val="00E418F8"/>
    <w:rsid w:val="00E4526B"/>
    <w:rsid w:val="00E46B39"/>
    <w:rsid w:val="00E473E6"/>
    <w:rsid w:val="00E65CBA"/>
    <w:rsid w:val="00E6689B"/>
    <w:rsid w:val="00E66F11"/>
    <w:rsid w:val="00E7593D"/>
    <w:rsid w:val="00E77541"/>
    <w:rsid w:val="00E80483"/>
    <w:rsid w:val="00E821ED"/>
    <w:rsid w:val="00E855C0"/>
    <w:rsid w:val="00E93C31"/>
    <w:rsid w:val="00E96354"/>
    <w:rsid w:val="00EA0175"/>
    <w:rsid w:val="00EA14F5"/>
    <w:rsid w:val="00EA3525"/>
    <w:rsid w:val="00EB1BE4"/>
    <w:rsid w:val="00EB2E8E"/>
    <w:rsid w:val="00EB3938"/>
    <w:rsid w:val="00EC7E6D"/>
    <w:rsid w:val="00ED1194"/>
    <w:rsid w:val="00ED1FB6"/>
    <w:rsid w:val="00ED5E8F"/>
    <w:rsid w:val="00EE3335"/>
    <w:rsid w:val="00EE4A42"/>
    <w:rsid w:val="00EE5963"/>
    <w:rsid w:val="00EF2D6B"/>
    <w:rsid w:val="00EF3255"/>
    <w:rsid w:val="00EF72D9"/>
    <w:rsid w:val="00F01FF7"/>
    <w:rsid w:val="00F03E30"/>
    <w:rsid w:val="00F0457C"/>
    <w:rsid w:val="00F064A6"/>
    <w:rsid w:val="00F11CE3"/>
    <w:rsid w:val="00F12901"/>
    <w:rsid w:val="00F16D4A"/>
    <w:rsid w:val="00F217AF"/>
    <w:rsid w:val="00F362E1"/>
    <w:rsid w:val="00F365EB"/>
    <w:rsid w:val="00F408E2"/>
    <w:rsid w:val="00F40AE4"/>
    <w:rsid w:val="00F47A99"/>
    <w:rsid w:val="00F55DD7"/>
    <w:rsid w:val="00F56F08"/>
    <w:rsid w:val="00F60B03"/>
    <w:rsid w:val="00F61822"/>
    <w:rsid w:val="00F715B2"/>
    <w:rsid w:val="00F71F7F"/>
    <w:rsid w:val="00F72F32"/>
    <w:rsid w:val="00F73F82"/>
    <w:rsid w:val="00F75745"/>
    <w:rsid w:val="00F76C11"/>
    <w:rsid w:val="00F77172"/>
    <w:rsid w:val="00F84901"/>
    <w:rsid w:val="00F84DCA"/>
    <w:rsid w:val="00F855C0"/>
    <w:rsid w:val="00F85F7B"/>
    <w:rsid w:val="00F8735B"/>
    <w:rsid w:val="00F91AE0"/>
    <w:rsid w:val="00F934F0"/>
    <w:rsid w:val="00FA68A8"/>
    <w:rsid w:val="00FA6F2B"/>
    <w:rsid w:val="00FB02C5"/>
    <w:rsid w:val="00FB0870"/>
    <w:rsid w:val="00FB213E"/>
    <w:rsid w:val="00FB28DF"/>
    <w:rsid w:val="00FB5EBF"/>
    <w:rsid w:val="00FB7E66"/>
    <w:rsid w:val="00FC0182"/>
    <w:rsid w:val="00FC1B40"/>
    <w:rsid w:val="00FC229F"/>
    <w:rsid w:val="00FC3808"/>
    <w:rsid w:val="00FC5EB5"/>
    <w:rsid w:val="00FC64AD"/>
    <w:rsid w:val="00FD5A40"/>
    <w:rsid w:val="00FD7059"/>
    <w:rsid w:val="00FE157C"/>
    <w:rsid w:val="00FE4492"/>
    <w:rsid w:val="00FE4D85"/>
    <w:rsid w:val="00FE603F"/>
    <w:rsid w:val="00FE7D90"/>
    <w:rsid w:val="00FF146C"/>
    <w:rsid w:val="00FF38BB"/>
    <w:rsid w:val="00FF485F"/>
    <w:rsid w:val="00FF64F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0EB"/>
    <w:pPr>
      <w:tabs>
        <w:tab w:val="left" w:pos="284"/>
        <w:tab w:val="left" w:pos="567"/>
        <w:tab w:val="left" w:pos="851"/>
        <w:tab w:val="left" w:pos="1985"/>
        <w:tab w:val="left" w:pos="3119"/>
        <w:tab w:val="left" w:pos="4253"/>
        <w:tab w:val="right" w:pos="7655"/>
      </w:tabs>
      <w:spacing w:line="280" w:lineRule="exact"/>
    </w:pPr>
    <w:rPr>
      <w:rFonts w:ascii="Helvetica 45 Light" w:hAnsi="Helvetica 45 Light"/>
      <w:sz w:val="20"/>
      <w:szCs w:val="20"/>
      <w:lang w:val="en-GB" w:eastAsia="en-GB"/>
    </w:rPr>
  </w:style>
  <w:style w:type="paragraph" w:styleId="Heading1">
    <w:name w:val="heading 1"/>
    <w:aliases w:val="DON'T USE 1"/>
    <w:basedOn w:val="Normal"/>
    <w:next w:val="Normal"/>
    <w:link w:val="Heading1Char"/>
    <w:uiPriority w:val="99"/>
    <w:qFormat/>
    <w:rsid w:val="00D046A1"/>
    <w:pPr>
      <w:keepNext/>
      <w:tabs>
        <w:tab w:val="clear" w:pos="284"/>
        <w:tab w:val="clear" w:pos="567"/>
        <w:tab w:val="clear" w:pos="851"/>
        <w:tab w:val="clear" w:pos="1985"/>
        <w:tab w:val="clear" w:pos="3119"/>
        <w:tab w:val="clear" w:pos="4253"/>
        <w:tab w:val="clear" w:pos="7655"/>
      </w:tabs>
      <w:spacing w:before="240" w:after="60" w:line="240" w:lineRule="auto"/>
      <w:outlineLvl w:val="0"/>
    </w:pPr>
    <w:rPr>
      <w:rFonts w:ascii="Helvetica" w:hAnsi="Helvetica"/>
      <w:b/>
      <w:noProof/>
      <w:kern w:val="32"/>
      <w:sz w:val="32"/>
    </w:rPr>
  </w:style>
  <w:style w:type="paragraph" w:styleId="Heading2">
    <w:name w:val="heading 2"/>
    <w:aliases w:val="DON'T USE 2"/>
    <w:basedOn w:val="Normal"/>
    <w:next w:val="Normal"/>
    <w:link w:val="Heading2Char"/>
    <w:uiPriority w:val="99"/>
    <w:qFormat/>
    <w:rsid w:val="00D046A1"/>
    <w:pPr>
      <w:keepNext/>
      <w:tabs>
        <w:tab w:val="clear" w:pos="284"/>
        <w:tab w:val="clear" w:pos="567"/>
        <w:tab w:val="clear" w:pos="851"/>
        <w:tab w:val="clear" w:pos="1985"/>
        <w:tab w:val="clear" w:pos="3119"/>
        <w:tab w:val="clear" w:pos="4253"/>
        <w:tab w:val="clear" w:pos="7655"/>
      </w:tabs>
      <w:spacing w:before="240" w:after="60" w:line="240" w:lineRule="auto"/>
      <w:outlineLvl w:val="1"/>
    </w:pPr>
    <w:rPr>
      <w:rFonts w:ascii="Helvetica" w:hAnsi="Helvetica"/>
      <w:b/>
      <w:i/>
      <w:noProof/>
      <w:sz w:val="28"/>
    </w:rPr>
  </w:style>
  <w:style w:type="paragraph" w:styleId="Heading3">
    <w:name w:val="heading 3"/>
    <w:aliases w:val="DON'T USE 3"/>
    <w:basedOn w:val="Normal"/>
    <w:next w:val="Normal"/>
    <w:link w:val="Heading3Char"/>
    <w:uiPriority w:val="99"/>
    <w:qFormat/>
    <w:rsid w:val="00D046A1"/>
    <w:pPr>
      <w:keepNext/>
      <w:tabs>
        <w:tab w:val="clear" w:pos="284"/>
        <w:tab w:val="clear" w:pos="567"/>
        <w:tab w:val="clear" w:pos="851"/>
        <w:tab w:val="clear" w:pos="1985"/>
        <w:tab w:val="clear" w:pos="3119"/>
        <w:tab w:val="clear" w:pos="4253"/>
        <w:tab w:val="clear" w:pos="7655"/>
      </w:tabs>
      <w:spacing w:before="240" w:after="60" w:line="240" w:lineRule="auto"/>
      <w:outlineLvl w:val="2"/>
    </w:pPr>
    <w:rPr>
      <w:rFonts w:ascii="Helvetica" w:hAnsi="Helvetica"/>
      <w:b/>
      <w:noProof/>
      <w:sz w:val="26"/>
    </w:rPr>
  </w:style>
  <w:style w:type="paragraph" w:styleId="Heading4">
    <w:name w:val="heading 4"/>
    <w:basedOn w:val="Normal"/>
    <w:next w:val="Normal"/>
    <w:link w:val="Heading4Char"/>
    <w:uiPriority w:val="99"/>
    <w:qFormat/>
    <w:rsid w:val="00316856"/>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1 Char"/>
    <w:basedOn w:val="DefaultParagraphFont"/>
    <w:link w:val="Heading1"/>
    <w:uiPriority w:val="9"/>
    <w:rsid w:val="00451B49"/>
    <w:rPr>
      <w:rFonts w:asciiTheme="majorHAnsi" w:eastAsiaTheme="majorEastAsia" w:hAnsiTheme="majorHAnsi" w:cstheme="majorBidi"/>
      <w:b/>
      <w:bCs/>
      <w:kern w:val="32"/>
      <w:sz w:val="32"/>
      <w:szCs w:val="32"/>
      <w:lang w:val="en-GB" w:eastAsia="en-GB"/>
    </w:rPr>
  </w:style>
  <w:style w:type="character" w:customStyle="1" w:styleId="Heading2Char">
    <w:name w:val="Heading 2 Char"/>
    <w:aliases w:val="DON'T USE 2 Char"/>
    <w:basedOn w:val="DefaultParagraphFont"/>
    <w:link w:val="Heading2"/>
    <w:uiPriority w:val="9"/>
    <w:semiHidden/>
    <w:rsid w:val="00451B49"/>
    <w:rPr>
      <w:rFonts w:asciiTheme="majorHAnsi" w:eastAsiaTheme="majorEastAsia" w:hAnsiTheme="majorHAnsi" w:cstheme="majorBidi"/>
      <w:b/>
      <w:bCs/>
      <w:i/>
      <w:iCs/>
      <w:sz w:val="28"/>
      <w:szCs w:val="28"/>
      <w:lang w:val="en-GB" w:eastAsia="en-GB"/>
    </w:rPr>
  </w:style>
  <w:style w:type="character" w:customStyle="1" w:styleId="Heading3Char">
    <w:name w:val="Heading 3 Char"/>
    <w:aliases w:val="DON'T USE 3 Char"/>
    <w:basedOn w:val="DefaultParagraphFont"/>
    <w:link w:val="Heading3"/>
    <w:uiPriority w:val="9"/>
    <w:semiHidden/>
    <w:rsid w:val="00451B49"/>
    <w:rPr>
      <w:rFonts w:asciiTheme="majorHAnsi" w:eastAsiaTheme="majorEastAsia" w:hAnsiTheme="majorHAnsi" w:cstheme="majorBidi"/>
      <w:b/>
      <w:bCs/>
      <w:sz w:val="26"/>
      <w:szCs w:val="26"/>
      <w:lang w:val="en-GB" w:eastAsia="en-GB"/>
    </w:rPr>
  </w:style>
  <w:style w:type="character" w:customStyle="1" w:styleId="Heading4Char">
    <w:name w:val="Heading 4 Char"/>
    <w:basedOn w:val="DefaultParagraphFont"/>
    <w:link w:val="Heading4"/>
    <w:uiPriority w:val="99"/>
    <w:semiHidden/>
    <w:locked/>
    <w:rsid w:val="00316856"/>
    <w:rPr>
      <w:rFonts w:ascii="Cambria" w:hAnsi="Cambria" w:cs="Times New Roman"/>
      <w:b/>
      <w:bCs/>
      <w:i/>
      <w:iCs/>
      <w:color w:val="4F81BD"/>
      <w:lang w:val="en-GB" w:eastAsia="en-GB"/>
    </w:rPr>
  </w:style>
  <w:style w:type="paragraph" w:customStyle="1" w:styleId="CText">
    <w:name w:val="C Text"/>
    <w:basedOn w:val="Normal"/>
    <w:uiPriority w:val="99"/>
    <w:rsid w:val="00D046A1"/>
    <w:pPr>
      <w:tabs>
        <w:tab w:val="left" w:pos="5954"/>
      </w:tabs>
    </w:pPr>
  </w:style>
  <w:style w:type="paragraph" w:customStyle="1" w:styleId="ATitle2lines">
    <w:name w:val="A Title 2 lines"/>
    <w:basedOn w:val="Normal"/>
    <w:next w:val="Blargetext"/>
    <w:uiPriority w:val="99"/>
    <w:rsid w:val="00D046A1"/>
    <w:pPr>
      <w:tabs>
        <w:tab w:val="clear" w:pos="284"/>
        <w:tab w:val="clear" w:pos="567"/>
        <w:tab w:val="clear" w:pos="851"/>
        <w:tab w:val="clear" w:pos="7655"/>
      </w:tabs>
      <w:spacing w:after="1400" w:line="1000" w:lineRule="exact"/>
      <w:ind w:hanging="1985"/>
    </w:pPr>
    <w:rPr>
      <w:rFonts w:ascii="Helvetica ExtraCompressed" w:hAnsi="Helvetica ExtraCompressed"/>
      <w:sz w:val="100"/>
    </w:rPr>
  </w:style>
  <w:style w:type="paragraph" w:customStyle="1" w:styleId="Dbulletpoint">
    <w:name w:val="D bullet point"/>
    <w:basedOn w:val="CText"/>
    <w:uiPriority w:val="99"/>
    <w:rsid w:val="00D046A1"/>
    <w:pPr>
      <w:numPr>
        <w:numId w:val="2"/>
      </w:numPr>
      <w:tabs>
        <w:tab w:val="clear" w:pos="360"/>
      </w:tabs>
    </w:pPr>
  </w:style>
  <w:style w:type="paragraph" w:customStyle="1" w:styleId="EBoldheading">
    <w:name w:val="E Bold heading"/>
    <w:basedOn w:val="CText"/>
    <w:next w:val="CText"/>
    <w:uiPriority w:val="99"/>
    <w:rsid w:val="00D046A1"/>
    <w:rPr>
      <w:b/>
    </w:rPr>
  </w:style>
  <w:style w:type="paragraph" w:customStyle="1" w:styleId="FItalicsubheading">
    <w:name w:val="F Italic subheading"/>
    <w:basedOn w:val="CText"/>
    <w:next w:val="CText"/>
    <w:uiPriority w:val="99"/>
    <w:rsid w:val="00D046A1"/>
    <w:rPr>
      <w:rFonts w:ascii="Helvetica 46 LightItalic" w:hAnsi="Helvetica 46 LightItalic"/>
    </w:rPr>
  </w:style>
  <w:style w:type="paragraph" w:customStyle="1" w:styleId="Blargetext">
    <w:name w:val="B large text"/>
    <w:basedOn w:val="CText"/>
    <w:next w:val="CText"/>
    <w:uiPriority w:val="99"/>
    <w:rsid w:val="00D046A1"/>
    <w:pPr>
      <w:tabs>
        <w:tab w:val="clear" w:pos="567"/>
        <w:tab w:val="clear" w:pos="851"/>
      </w:tabs>
      <w:spacing w:line="360" w:lineRule="exact"/>
    </w:pPr>
    <w:rPr>
      <w:rFonts w:ascii="HelveticaNeue LightCond" w:hAnsi="HelveticaNeue LightCond"/>
      <w:sz w:val="32"/>
    </w:rPr>
  </w:style>
  <w:style w:type="paragraph" w:customStyle="1" w:styleId="ATitle3lines">
    <w:name w:val="A Title 3 lines"/>
    <w:basedOn w:val="ATitle1line"/>
    <w:next w:val="Blargetext"/>
    <w:uiPriority w:val="99"/>
    <w:rsid w:val="00D046A1"/>
    <w:pPr>
      <w:spacing w:after="400"/>
    </w:pPr>
  </w:style>
  <w:style w:type="paragraph" w:customStyle="1" w:styleId="Gfooter">
    <w:name w:val="G footer"/>
    <w:basedOn w:val="Footer"/>
    <w:uiPriority w:val="99"/>
    <w:rsid w:val="00D046A1"/>
  </w:style>
  <w:style w:type="paragraph" w:styleId="Footer">
    <w:name w:val="footer"/>
    <w:basedOn w:val="Normal"/>
    <w:link w:val="FooterChar"/>
    <w:uiPriority w:val="99"/>
    <w:semiHidden/>
    <w:rsid w:val="00D046A1"/>
    <w:pPr>
      <w:tabs>
        <w:tab w:val="clear" w:pos="284"/>
        <w:tab w:val="clear" w:pos="567"/>
        <w:tab w:val="clear" w:pos="851"/>
        <w:tab w:val="clear" w:pos="7655"/>
      </w:tabs>
      <w:spacing w:line="160" w:lineRule="exact"/>
    </w:pPr>
    <w:rPr>
      <w:sz w:val="12"/>
    </w:rPr>
  </w:style>
  <w:style w:type="character" w:customStyle="1" w:styleId="FooterChar">
    <w:name w:val="Footer Char"/>
    <w:basedOn w:val="DefaultParagraphFont"/>
    <w:link w:val="Footer"/>
    <w:uiPriority w:val="99"/>
    <w:semiHidden/>
    <w:rsid w:val="00451B49"/>
    <w:rPr>
      <w:rFonts w:ascii="Helvetica 45 Light" w:hAnsi="Helvetica 45 Light"/>
      <w:sz w:val="20"/>
      <w:szCs w:val="20"/>
      <w:lang w:val="en-GB" w:eastAsia="en-GB"/>
    </w:rPr>
  </w:style>
  <w:style w:type="paragraph" w:customStyle="1" w:styleId="Hcharttext">
    <w:name w:val="H chart text"/>
    <w:basedOn w:val="Dbulletpoint"/>
    <w:uiPriority w:val="99"/>
    <w:rsid w:val="00D046A1"/>
    <w:pPr>
      <w:tabs>
        <w:tab w:val="clear" w:pos="284"/>
        <w:tab w:val="clear" w:pos="567"/>
        <w:tab w:val="clear" w:pos="851"/>
        <w:tab w:val="clear" w:pos="5954"/>
        <w:tab w:val="clear" w:pos="7655"/>
        <w:tab w:val="left" w:pos="142"/>
      </w:tabs>
      <w:spacing w:line="200" w:lineRule="exact"/>
      <w:ind w:left="142" w:hanging="142"/>
    </w:pPr>
    <w:rPr>
      <w:sz w:val="15"/>
    </w:rPr>
  </w:style>
  <w:style w:type="paragraph" w:customStyle="1" w:styleId="IChartheading">
    <w:name w:val="I Chart heading"/>
    <w:basedOn w:val="EBoldheading"/>
    <w:uiPriority w:val="99"/>
    <w:rsid w:val="00D046A1"/>
    <w:pPr>
      <w:spacing w:line="200" w:lineRule="exact"/>
    </w:pPr>
    <w:rPr>
      <w:sz w:val="15"/>
    </w:rPr>
  </w:style>
  <w:style w:type="paragraph" w:customStyle="1" w:styleId="Jsmalltitle">
    <w:name w:val="J small title"/>
    <w:next w:val="Ksmalltext"/>
    <w:uiPriority w:val="99"/>
    <w:rsid w:val="00D046A1"/>
    <w:pPr>
      <w:spacing w:line="480" w:lineRule="exact"/>
    </w:pPr>
    <w:rPr>
      <w:rFonts w:ascii="Helvetica ExtraCompressed" w:hAnsi="Helvetica ExtraCompressed"/>
      <w:noProof/>
      <w:sz w:val="44"/>
      <w:szCs w:val="20"/>
      <w:lang w:val="en-GB" w:eastAsia="en-GB"/>
    </w:rPr>
  </w:style>
  <w:style w:type="paragraph" w:customStyle="1" w:styleId="Ksmalltext">
    <w:name w:val="K small text"/>
    <w:basedOn w:val="Blargetext"/>
    <w:uiPriority w:val="99"/>
    <w:rsid w:val="00D046A1"/>
    <w:pPr>
      <w:tabs>
        <w:tab w:val="clear" w:pos="5954"/>
      </w:tabs>
      <w:spacing w:after="200" w:line="280" w:lineRule="exact"/>
    </w:pPr>
    <w:rPr>
      <w:sz w:val="24"/>
    </w:rPr>
  </w:style>
  <w:style w:type="paragraph" w:customStyle="1" w:styleId="Mtctext">
    <w:name w:val="M t&amp;c text"/>
    <w:uiPriority w:val="99"/>
    <w:rsid w:val="00D046A1"/>
    <w:pPr>
      <w:numPr>
        <w:numId w:val="4"/>
      </w:numPr>
      <w:spacing w:line="200" w:lineRule="exact"/>
    </w:pPr>
    <w:rPr>
      <w:rFonts w:ascii="Helvetica 45 Light" w:hAnsi="Helvetica 45 Light"/>
      <w:noProof/>
      <w:sz w:val="13"/>
      <w:szCs w:val="20"/>
      <w:lang w:val="en-GB" w:eastAsia="en-GB"/>
    </w:rPr>
  </w:style>
  <w:style w:type="paragraph" w:customStyle="1" w:styleId="Ntcheading">
    <w:name w:val="N t&amp;c heading"/>
    <w:basedOn w:val="Normal"/>
    <w:next w:val="Mtctext"/>
    <w:uiPriority w:val="99"/>
    <w:rsid w:val="00D046A1"/>
    <w:pPr>
      <w:numPr>
        <w:numId w:val="3"/>
      </w:numPr>
      <w:tabs>
        <w:tab w:val="clear" w:pos="360"/>
        <w:tab w:val="clear" w:pos="567"/>
        <w:tab w:val="clear" w:pos="851"/>
        <w:tab w:val="clear" w:pos="7655"/>
      </w:tabs>
    </w:pPr>
    <w:rPr>
      <w:rFonts w:ascii="Helvetica 65 Medium" w:hAnsi="Helvetica 65 Medium"/>
      <w:sz w:val="13"/>
    </w:rPr>
  </w:style>
  <w:style w:type="paragraph" w:customStyle="1" w:styleId="ATitle1line">
    <w:name w:val="A Title 1 line"/>
    <w:next w:val="Blargetext"/>
    <w:uiPriority w:val="99"/>
    <w:rsid w:val="00D046A1"/>
    <w:pPr>
      <w:spacing w:after="2400" w:line="1000" w:lineRule="exact"/>
      <w:ind w:hanging="1985"/>
    </w:pPr>
    <w:rPr>
      <w:rFonts w:ascii="Helvetica ExtraCompressed" w:hAnsi="Helvetica ExtraCompressed"/>
      <w:sz w:val="100"/>
      <w:szCs w:val="20"/>
      <w:lang w:val="en-GB" w:eastAsia="en-GB"/>
    </w:rPr>
  </w:style>
  <w:style w:type="paragraph" w:styleId="Header">
    <w:name w:val="header"/>
    <w:basedOn w:val="Normal"/>
    <w:link w:val="HeaderChar"/>
    <w:uiPriority w:val="99"/>
    <w:semiHidden/>
    <w:rsid w:val="00D046A1"/>
    <w:pPr>
      <w:tabs>
        <w:tab w:val="clear" w:pos="284"/>
        <w:tab w:val="clear" w:pos="567"/>
        <w:tab w:val="clear" w:pos="851"/>
        <w:tab w:val="clear" w:pos="1985"/>
        <w:tab w:val="clear" w:pos="3119"/>
        <w:tab w:val="clear" w:pos="4253"/>
        <w:tab w:val="clear" w:pos="7655"/>
        <w:tab w:val="center" w:pos="4320"/>
        <w:tab w:val="right" w:pos="8640"/>
      </w:tabs>
    </w:pPr>
  </w:style>
  <w:style w:type="character" w:customStyle="1" w:styleId="HeaderChar">
    <w:name w:val="Header Char"/>
    <w:basedOn w:val="DefaultParagraphFont"/>
    <w:link w:val="Header"/>
    <w:uiPriority w:val="99"/>
    <w:semiHidden/>
    <w:rsid w:val="00451B49"/>
    <w:rPr>
      <w:rFonts w:ascii="Helvetica 45 Light" w:hAnsi="Helvetica 45 Light"/>
      <w:sz w:val="20"/>
      <w:szCs w:val="20"/>
      <w:lang w:val="en-GB" w:eastAsia="en-GB"/>
    </w:rPr>
  </w:style>
  <w:style w:type="paragraph" w:customStyle="1" w:styleId="Legalentity">
    <w:name w:val="Legal entity"/>
    <w:basedOn w:val="Normal"/>
    <w:uiPriority w:val="99"/>
    <w:rsid w:val="00D046A1"/>
    <w:pPr>
      <w:widowControl w:val="0"/>
      <w:tabs>
        <w:tab w:val="clear" w:pos="284"/>
        <w:tab w:val="clear" w:pos="567"/>
        <w:tab w:val="clear" w:pos="851"/>
        <w:tab w:val="clear" w:pos="1985"/>
        <w:tab w:val="clear" w:pos="3119"/>
        <w:tab w:val="clear" w:pos="4253"/>
        <w:tab w:val="clear" w:pos="7655"/>
      </w:tabs>
      <w:suppressAutoHyphens/>
      <w:autoSpaceDE w:val="0"/>
      <w:autoSpaceDN w:val="0"/>
      <w:adjustRightInd w:val="0"/>
      <w:spacing w:after="90" w:line="180" w:lineRule="atLeast"/>
      <w:textAlignment w:val="center"/>
    </w:pPr>
    <w:rPr>
      <w:rFonts w:ascii="ArialMT" w:eastAsia="Times New Roman" w:hAnsi="ArialMT"/>
      <w:color w:val="000000"/>
      <w:sz w:val="15"/>
    </w:rPr>
  </w:style>
  <w:style w:type="character" w:styleId="Hyperlink">
    <w:name w:val="Hyperlink"/>
    <w:basedOn w:val="DefaultParagraphFont"/>
    <w:uiPriority w:val="99"/>
    <w:rsid w:val="00D046A1"/>
    <w:rPr>
      <w:rFonts w:cs="Times New Roman"/>
      <w:color w:val="0000FF"/>
      <w:u w:val="single"/>
    </w:rPr>
  </w:style>
  <w:style w:type="paragraph" w:customStyle="1" w:styleId="Fax">
    <w:name w:val="Fax"/>
    <w:basedOn w:val="Normal"/>
    <w:uiPriority w:val="99"/>
    <w:rsid w:val="00D046A1"/>
    <w:pPr>
      <w:widowControl w:val="0"/>
      <w:tabs>
        <w:tab w:val="clear" w:pos="284"/>
        <w:tab w:val="clear" w:pos="567"/>
        <w:tab w:val="clear" w:pos="851"/>
        <w:tab w:val="clear" w:pos="1985"/>
        <w:tab w:val="clear" w:pos="3119"/>
        <w:tab w:val="clear" w:pos="4253"/>
        <w:tab w:val="clear" w:pos="7655"/>
      </w:tabs>
      <w:suppressAutoHyphens/>
      <w:autoSpaceDE w:val="0"/>
      <w:autoSpaceDN w:val="0"/>
      <w:adjustRightInd w:val="0"/>
      <w:spacing w:line="320" w:lineRule="atLeast"/>
      <w:textAlignment w:val="center"/>
    </w:pPr>
    <w:rPr>
      <w:rFonts w:ascii="Garamond3LTStd" w:eastAsia="Times New Roman" w:hAnsi="Garamond3LTStd"/>
      <w:color w:val="000000"/>
      <w:sz w:val="56"/>
    </w:rPr>
  </w:style>
  <w:style w:type="paragraph" w:customStyle="1" w:styleId="Boldhead">
    <w:name w:val="Bold head"/>
    <w:basedOn w:val="Normal"/>
    <w:uiPriority w:val="99"/>
    <w:rsid w:val="00C030EB"/>
    <w:pPr>
      <w:widowControl w:val="0"/>
      <w:tabs>
        <w:tab w:val="clear" w:pos="284"/>
        <w:tab w:val="clear" w:pos="567"/>
        <w:tab w:val="clear" w:pos="851"/>
        <w:tab w:val="clear" w:pos="1985"/>
        <w:tab w:val="clear" w:pos="3119"/>
        <w:tab w:val="clear" w:pos="4253"/>
        <w:tab w:val="clear" w:pos="7655"/>
        <w:tab w:val="left" w:pos="1134"/>
      </w:tabs>
      <w:suppressAutoHyphens/>
      <w:autoSpaceDE w:val="0"/>
      <w:autoSpaceDN w:val="0"/>
      <w:adjustRightInd w:val="0"/>
      <w:spacing w:line="180" w:lineRule="atLeast"/>
      <w:textAlignment w:val="center"/>
    </w:pPr>
    <w:rPr>
      <w:rFonts w:ascii="Arial" w:eastAsia="Times New Roman" w:hAnsi="Arial"/>
      <w:b/>
      <w:color w:val="000000"/>
      <w:sz w:val="16"/>
    </w:rPr>
  </w:style>
  <w:style w:type="character" w:customStyle="1" w:styleId="Timestabtext">
    <w:name w:val="Times tab text"/>
    <w:uiPriority w:val="99"/>
    <w:rsid w:val="00C030EB"/>
    <w:rPr>
      <w:rFonts w:ascii="Times New Roman" w:hAnsi="Times New Roman"/>
      <w:color w:val="000000"/>
      <w:spacing w:val="0"/>
      <w:w w:val="100"/>
      <w:position w:val="0"/>
      <w:sz w:val="16"/>
      <w:u w:val="none"/>
      <w:vertAlign w:val="baseline"/>
      <w:lang w:val="en-GB"/>
    </w:rPr>
  </w:style>
  <w:style w:type="paragraph" w:customStyle="1" w:styleId="Maintext">
    <w:name w:val="Main text"/>
    <w:basedOn w:val="Normal"/>
    <w:uiPriority w:val="99"/>
    <w:rsid w:val="00C030EB"/>
    <w:pPr>
      <w:widowControl w:val="0"/>
      <w:tabs>
        <w:tab w:val="clear" w:pos="284"/>
        <w:tab w:val="clear" w:pos="567"/>
        <w:tab w:val="clear" w:pos="851"/>
        <w:tab w:val="clear" w:pos="1985"/>
        <w:tab w:val="clear" w:pos="3119"/>
        <w:tab w:val="clear" w:pos="4253"/>
        <w:tab w:val="clear" w:pos="7655"/>
      </w:tabs>
      <w:suppressAutoHyphens/>
      <w:autoSpaceDE w:val="0"/>
      <w:autoSpaceDN w:val="0"/>
      <w:adjustRightInd w:val="0"/>
      <w:spacing w:line="240" w:lineRule="atLeast"/>
      <w:textAlignment w:val="center"/>
    </w:pPr>
    <w:rPr>
      <w:rFonts w:ascii="Times New Roman" w:eastAsia="Times New Roman" w:hAnsi="Times New Roman"/>
      <w:color w:val="000000"/>
    </w:rPr>
  </w:style>
  <w:style w:type="paragraph" w:customStyle="1" w:styleId="Legalcopy">
    <w:name w:val="Legal copy"/>
    <w:basedOn w:val="Normal"/>
    <w:uiPriority w:val="99"/>
    <w:rsid w:val="00D046A1"/>
    <w:pPr>
      <w:widowControl w:val="0"/>
      <w:tabs>
        <w:tab w:val="clear" w:pos="284"/>
        <w:tab w:val="clear" w:pos="567"/>
        <w:tab w:val="clear" w:pos="851"/>
        <w:tab w:val="clear" w:pos="1985"/>
        <w:tab w:val="clear" w:pos="3119"/>
        <w:tab w:val="clear" w:pos="4253"/>
        <w:tab w:val="clear" w:pos="7655"/>
      </w:tabs>
      <w:suppressAutoHyphens/>
      <w:autoSpaceDE w:val="0"/>
      <w:autoSpaceDN w:val="0"/>
      <w:adjustRightInd w:val="0"/>
      <w:spacing w:line="140" w:lineRule="atLeast"/>
      <w:textAlignment w:val="center"/>
    </w:pPr>
    <w:rPr>
      <w:rFonts w:ascii="ArialMT" w:eastAsia="Times New Roman" w:hAnsi="ArialMT"/>
      <w:color w:val="000000"/>
      <w:sz w:val="13"/>
    </w:rPr>
  </w:style>
  <w:style w:type="paragraph" w:customStyle="1" w:styleId="Amember">
    <w:name w:val="A member"/>
    <w:basedOn w:val="Normal"/>
    <w:uiPriority w:val="99"/>
    <w:rsid w:val="00D046A1"/>
    <w:pPr>
      <w:widowControl w:val="0"/>
      <w:tabs>
        <w:tab w:val="clear" w:pos="284"/>
        <w:tab w:val="clear" w:pos="567"/>
        <w:tab w:val="clear" w:pos="851"/>
        <w:tab w:val="clear" w:pos="1985"/>
        <w:tab w:val="clear" w:pos="3119"/>
        <w:tab w:val="clear" w:pos="4253"/>
        <w:tab w:val="clear" w:pos="7655"/>
      </w:tabs>
      <w:suppressAutoHyphens/>
      <w:autoSpaceDE w:val="0"/>
      <w:autoSpaceDN w:val="0"/>
      <w:adjustRightInd w:val="0"/>
      <w:spacing w:line="160" w:lineRule="atLeast"/>
      <w:textAlignment w:val="center"/>
    </w:pPr>
    <w:rPr>
      <w:rFonts w:ascii="FrutigerNextPro-Light" w:eastAsia="Times New Roman" w:hAnsi="FrutigerNextPro-Light"/>
      <w:color w:val="000000"/>
      <w:sz w:val="14"/>
    </w:rPr>
  </w:style>
  <w:style w:type="paragraph" w:customStyle="1" w:styleId="Headline">
    <w:name w:val="Headline"/>
    <w:link w:val="HeadlineChar"/>
    <w:uiPriority w:val="99"/>
    <w:pPr>
      <w:jc w:val="center"/>
    </w:pPr>
    <w:rPr>
      <w:rFonts w:ascii="Times New Roman" w:eastAsia="Times New Roman" w:hAnsi="Times New Roman"/>
      <w:b/>
      <w:color w:val="000000"/>
      <w:sz w:val="40"/>
      <w:szCs w:val="20"/>
      <w:lang w:val="en-GB" w:eastAsia="en-GB"/>
    </w:rPr>
  </w:style>
  <w:style w:type="paragraph" w:customStyle="1" w:styleId="Sub-heading">
    <w:name w:val="Sub-heading"/>
    <w:link w:val="Sub-headingChar"/>
    <w:uiPriority w:val="99"/>
    <w:pPr>
      <w:jc w:val="center"/>
    </w:pPr>
    <w:rPr>
      <w:rFonts w:ascii="Times New Roman" w:eastAsia="Times New Roman" w:hAnsi="Times New Roman"/>
      <w:color w:val="000000"/>
      <w:sz w:val="40"/>
      <w:szCs w:val="20"/>
      <w:lang w:val="en-GB" w:eastAsia="en-GB"/>
    </w:rPr>
  </w:style>
  <w:style w:type="character" w:customStyle="1" w:styleId="HeadlineChar">
    <w:name w:val="Headline Char"/>
    <w:basedOn w:val="DefaultParagraphFont"/>
    <w:link w:val="Headline"/>
    <w:uiPriority w:val="99"/>
    <w:locked/>
    <w:rPr>
      <w:rFonts w:ascii="Times New Roman" w:hAnsi="Times New Roman" w:cs="Times New Roman"/>
      <w:b/>
      <w:color w:val="000000"/>
      <w:sz w:val="40"/>
      <w:lang w:val="en-GB" w:eastAsia="en-GB" w:bidi="ar-SA"/>
    </w:rPr>
  </w:style>
  <w:style w:type="character" w:customStyle="1" w:styleId="Sub-headingChar">
    <w:name w:val="Sub-heading Char"/>
    <w:basedOn w:val="DefaultParagraphFont"/>
    <w:link w:val="Sub-heading"/>
    <w:uiPriority w:val="99"/>
    <w:locked/>
    <w:rPr>
      <w:rFonts w:ascii="Times New Roman" w:hAnsi="Times New Roman" w:cs="Times New Roman"/>
      <w:color w:val="000000"/>
      <w:sz w:val="40"/>
      <w:lang w:val="en-GB" w:eastAsia="en-GB" w:bidi="ar-SA"/>
    </w:rPr>
  </w:style>
  <w:style w:type="paragraph" w:styleId="Title">
    <w:name w:val="Title"/>
    <w:basedOn w:val="Normal"/>
    <w:link w:val="TitleChar"/>
    <w:uiPriority w:val="99"/>
    <w:qFormat/>
    <w:rsid w:val="0026683E"/>
    <w:pPr>
      <w:tabs>
        <w:tab w:val="clear" w:pos="284"/>
        <w:tab w:val="clear" w:pos="567"/>
        <w:tab w:val="clear" w:pos="851"/>
        <w:tab w:val="clear" w:pos="1985"/>
        <w:tab w:val="clear" w:pos="3119"/>
        <w:tab w:val="clear" w:pos="4253"/>
        <w:tab w:val="clear" w:pos="7655"/>
      </w:tabs>
      <w:spacing w:line="240" w:lineRule="auto"/>
      <w:jc w:val="center"/>
    </w:pPr>
    <w:rPr>
      <w:rFonts w:ascii="Arial" w:eastAsia="Times New Roman" w:hAnsi="Arial" w:cs="Arial"/>
      <w:b/>
      <w:bCs/>
      <w:sz w:val="32"/>
      <w:szCs w:val="24"/>
      <w:lang w:val="en-CA" w:eastAsia="en-US"/>
    </w:rPr>
  </w:style>
  <w:style w:type="character" w:customStyle="1" w:styleId="TitleChar">
    <w:name w:val="Title Char"/>
    <w:basedOn w:val="DefaultParagraphFont"/>
    <w:link w:val="Title"/>
    <w:uiPriority w:val="99"/>
    <w:locked/>
    <w:rsid w:val="0026683E"/>
    <w:rPr>
      <w:rFonts w:ascii="Arial" w:hAnsi="Arial" w:cs="Arial"/>
      <w:b/>
      <w:bCs/>
      <w:sz w:val="24"/>
      <w:szCs w:val="24"/>
      <w:lang w:val="en-CA" w:eastAsia="en-US"/>
    </w:rPr>
  </w:style>
  <w:style w:type="table" w:customStyle="1" w:styleId="MediumShading1-Accent11">
    <w:name w:val="Medium Shading 1 - Accent 11"/>
    <w:uiPriority w:val="99"/>
    <w:rsid w:val="00852258"/>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BalloonText">
    <w:name w:val="Balloon Text"/>
    <w:basedOn w:val="Normal"/>
    <w:link w:val="BalloonTextChar"/>
    <w:uiPriority w:val="99"/>
    <w:semiHidden/>
    <w:rsid w:val="00FB21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213E"/>
    <w:rPr>
      <w:rFonts w:ascii="Tahoma" w:hAnsi="Tahoma" w:cs="Tahoma"/>
      <w:sz w:val="16"/>
      <w:szCs w:val="16"/>
      <w:lang w:val="en-GB" w:eastAsia="en-GB"/>
    </w:rPr>
  </w:style>
  <w:style w:type="character" w:styleId="CommentReference">
    <w:name w:val="annotation reference"/>
    <w:basedOn w:val="DefaultParagraphFont"/>
    <w:uiPriority w:val="99"/>
    <w:semiHidden/>
    <w:rsid w:val="00670E22"/>
    <w:rPr>
      <w:rFonts w:cs="Times New Roman"/>
      <w:sz w:val="16"/>
      <w:szCs w:val="16"/>
    </w:rPr>
  </w:style>
  <w:style w:type="paragraph" w:styleId="CommentText">
    <w:name w:val="annotation text"/>
    <w:basedOn w:val="Normal"/>
    <w:link w:val="CommentTextChar"/>
    <w:uiPriority w:val="99"/>
    <w:semiHidden/>
    <w:rsid w:val="00670E22"/>
    <w:pPr>
      <w:spacing w:line="240" w:lineRule="auto"/>
    </w:pPr>
  </w:style>
  <w:style w:type="character" w:customStyle="1" w:styleId="CommentTextChar">
    <w:name w:val="Comment Text Char"/>
    <w:basedOn w:val="DefaultParagraphFont"/>
    <w:link w:val="CommentText"/>
    <w:uiPriority w:val="99"/>
    <w:semiHidden/>
    <w:locked/>
    <w:rsid w:val="00670E22"/>
    <w:rPr>
      <w:rFonts w:ascii="Helvetica 45 Light" w:hAnsi="Helvetica 45 Light" w:cs="Times New Roman"/>
      <w:lang w:val="en-GB" w:eastAsia="en-GB"/>
    </w:rPr>
  </w:style>
  <w:style w:type="paragraph" w:styleId="CommentSubject">
    <w:name w:val="annotation subject"/>
    <w:basedOn w:val="CommentText"/>
    <w:next w:val="CommentText"/>
    <w:link w:val="CommentSubjectChar"/>
    <w:uiPriority w:val="99"/>
    <w:semiHidden/>
    <w:rsid w:val="00670E22"/>
    <w:rPr>
      <w:b/>
      <w:bCs/>
    </w:rPr>
  </w:style>
  <w:style w:type="character" w:customStyle="1" w:styleId="CommentSubjectChar">
    <w:name w:val="Comment Subject Char"/>
    <w:basedOn w:val="CommentTextChar"/>
    <w:link w:val="CommentSubject"/>
    <w:uiPriority w:val="99"/>
    <w:semiHidden/>
    <w:locked/>
    <w:rsid w:val="00670E22"/>
    <w:rPr>
      <w:b/>
      <w:bCs/>
    </w:rPr>
  </w:style>
  <w:style w:type="character" w:styleId="Strong">
    <w:name w:val="Strong"/>
    <w:basedOn w:val="DefaultParagraphFont"/>
    <w:uiPriority w:val="99"/>
    <w:qFormat/>
    <w:rsid w:val="006A0526"/>
    <w:rPr>
      <w:rFonts w:cs="Times New Roman"/>
      <w:b/>
    </w:rPr>
  </w:style>
  <w:style w:type="paragraph" w:styleId="NormalWeb">
    <w:name w:val="Normal (Web)"/>
    <w:basedOn w:val="Normal"/>
    <w:uiPriority w:val="99"/>
    <w:rsid w:val="006A0526"/>
    <w:pPr>
      <w:tabs>
        <w:tab w:val="clear" w:pos="284"/>
        <w:tab w:val="clear" w:pos="567"/>
        <w:tab w:val="clear" w:pos="851"/>
        <w:tab w:val="clear" w:pos="1985"/>
        <w:tab w:val="clear" w:pos="3119"/>
        <w:tab w:val="clear" w:pos="4253"/>
        <w:tab w:val="clear" w:pos="7655"/>
      </w:tabs>
      <w:spacing w:line="200" w:lineRule="atLeast"/>
    </w:pPr>
    <w:rPr>
      <w:rFonts w:ascii="Times New Roman" w:eastAsia="Times New Roman" w:hAnsi="Times New Roman"/>
      <w:sz w:val="24"/>
      <w:szCs w:val="24"/>
      <w:lang w:val="fr-FR" w:eastAsia="fr-FR"/>
    </w:rPr>
  </w:style>
  <w:style w:type="paragraph" w:styleId="ListParagraph">
    <w:name w:val="List Paragraph"/>
    <w:basedOn w:val="Normal"/>
    <w:uiPriority w:val="99"/>
    <w:qFormat/>
    <w:rsid w:val="00234520"/>
    <w:pPr>
      <w:tabs>
        <w:tab w:val="clear" w:pos="284"/>
        <w:tab w:val="clear" w:pos="567"/>
        <w:tab w:val="clear" w:pos="851"/>
        <w:tab w:val="clear" w:pos="1985"/>
        <w:tab w:val="clear" w:pos="3119"/>
        <w:tab w:val="clear" w:pos="4253"/>
        <w:tab w:val="clear" w:pos="7655"/>
      </w:tabs>
      <w:spacing w:after="200" w:line="240" w:lineRule="auto"/>
      <w:ind w:left="720"/>
      <w:contextualSpacing/>
    </w:pPr>
    <w:rPr>
      <w:rFonts w:ascii="Cambria" w:eastAsia="Times New Roman" w:hAnsi="Cambria"/>
      <w:sz w:val="24"/>
      <w:szCs w:val="24"/>
      <w:lang w:val="en-US" w:eastAsia="en-US"/>
    </w:rPr>
  </w:style>
  <w:style w:type="paragraph" w:styleId="PlainText">
    <w:name w:val="Plain Text"/>
    <w:basedOn w:val="Normal"/>
    <w:link w:val="PlainTextChar"/>
    <w:uiPriority w:val="99"/>
    <w:rsid w:val="00234520"/>
    <w:pPr>
      <w:tabs>
        <w:tab w:val="clear" w:pos="284"/>
        <w:tab w:val="clear" w:pos="567"/>
        <w:tab w:val="clear" w:pos="851"/>
        <w:tab w:val="clear" w:pos="1985"/>
        <w:tab w:val="clear" w:pos="3119"/>
        <w:tab w:val="clear" w:pos="4253"/>
        <w:tab w:val="clear" w:pos="7655"/>
      </w:tabs>
      <w:spacing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locked/>
    <w:rsid w:val="00234520"/>
    <w:rPr>
      <w:rFonts w:ascii="Consolas" w:hAnsi="Consolas" w:cs="Times New Roman"/>
      <w:sz w:val="21"/>
      <w:szCs w:val="21"/>
      <w:lang w:val="en-GB" w:eastAsia="en-GB"/>
    </w:rPr>
  </w:style>
  <w:style w:type="paragraph" w:styleId="FootnoteText">
    <w:name w:val="footnote text"/>
    <w:basedOn w:val="Normal"/>
    <w:link w:val="FootnoteTextChar"/>
    <w:uiPriority w:val="99"/>
    <w:semiHidden/>
    <w:rsid w:val="00150BA1"/>
    <w:pPr>
      <w:tabs>
        <w:tab w:val="clear" w:pos="284"/>
        <w:tab w:val="clear" w:pos="567"/>
        <w:tab w:val="clear" w:pos="851"/>
        <w:tab w:val="clear" w:pos="1985"/>
        <w:tab w:val="clear" w:pos="3119"/>
        <w:tab w:val="clear" w:pos="4253"/>
        <w:tab w:val="clear" w:pos="7655"/>
      </w:tabs>
      <w:spacing w:line="240" w:lineRule="auto"/>
    </w:pPr>
    <w:rPr>
      <w:rFonts w:ascii="Calibri" w:hAnsi="Calibri"/>
      <w:lang w:val="en-US" w:eastAsia="en-US"/>
    </w:rPr>
  </w:style>
  <w:style w:type="character" w:customStyle="1" w:styleId="FootnoteTextChar">
    <w:name w:val="Footnote Text Char"/>
    <w:basedOn w:val="DefaultParagraphFont"/>
    <w:link w:val="FootnoteText"/>
    <w:uiPriority w:val="99"/>
    <w:semiHidden/>
    <w:locked/>
    <w:rsid w:val="00150BA1"/>
    <w:rPr>
      <w:rFonts w:ascii="Calibri" w:eastAsia="Times New Roman" w:hAnsi="Calibri" w:cs="Times New Roman"/>
      <w:lang w:val="en-US" w:eastAsia="en-US"/>
    </w:rPr>
  </w:style>
  <w:style w:type="character" w:styleId="FootnoteReference">
    <w:name w:val="footnote reference"/>
    <w:basedOn w:val="DefaultParagraphFont"/>
    <w:uiPriority w:val="99"/>
    <w:semiHidden/>
    <w:rsid w:val="00150BA1"/>
    <w:rPr>
      <w:rFonts w:cs="Times New Roman"/>
      <w:vertAlign w:val="superscript"/>
    </w:rPr>
  </w:style>
  <w:style w:type="paragraph" w:customStyle="1" w:styleId="text">
    <w:name w:val="text"/>
    <w:basedOn w:val="Normal"/>
    <w:uiPriority w:val="99"/>
    <w:rsid w:val="00CC063C"/>
    <w:pPr>
      <w:tabs>
        <w:tab w:val="clear" w:pos="284"/>
        <w:tab w:val="clear" w:pos="567"/>
        <w:tab w:val="clear" w:pos="851"/>
        <w:tab w:val="clear" w:pos="1985"/>
        <w:tab w:val="clear" w:pos="3119"/>
        <w:tab w:val="clear" w:pos="4253"/>
        <w:tab w:val="clear" w:pos="7655"/>
      </w:tabs>
      <w:spacing w:line="240" w:lineRule="auto"/>
    </w:pPr>
    <w:rPr>
      <w:rFonts w:ascii="Times New Roman" w:hAnsi="Times New Roman"/>
      <w:sz w:val="24"/>
      <w:szCs w:val="24"/>
      <w:lang w:val="en-US" w:eastAsia="en-US"/>
    </w:rPr>
  </w:style>
  <w:style w:type="table" w:customStyle="1" w:styleId="LightShading-Accent11">
    <w:name w:val="Light Shading - Accent 11"/>
    <w:uiPriority w:val="99"/>
    <w:rsid w:val="002F4283"/>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1">
    <w:name w:val="Light Shading1"/>
    <w:uiPriority w:val="99"/>
    <w:rsid w:val="003814B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List-Accent11">
    <w:name w:val="Light List - Accent 11"/>
    <w:uiPriority w:val="99"/>
    <w:rsid w:val="003814B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NoSpacing">
    <w:name w:val="No Spacing"/>
    <w:uiPriority w:val="99"/>
    <w:qFormat/>
    <w:rsid w:val="00787B95"/>
    <w:rPr>
      <w:rFonts w:ascii="Calibri" w:hAnsi="Calibri"/>
    </w:rPr>
  </w:style>
  <w:style w:type="character" w:styleId="FollowedHyperlink">
    <w:name w:val="FollowedHyperlink"/>
    <w:basedOn w:val="DefaultParagraphFont"/>
    <w:uiPriority w:val="99"/>
    <w:semiHidden/>
    <w:rsid w:val="003D3A90"/>
    <w:rPr>
      <w:rFonts w:cs="Times New Roman"/>
      <w:color w:val="800080"/>
      <w:u w:val="single"/>
    </w:rPr>
  </w:style>
  <w:style w:type="paragraph" w:customStyle="1" w:styleId="LMBullet2white">
    <w:name w:val="LM_Bullet2 white"/>
    <w:basedOn w:val="Normal"/>
    <w:uiPriority w:val="99"/>
    <w:rsid w:val="00FE4D85"/>
    <w:pPr>
      <w:numPr>
        <w:numId w:val="32"/>
      </w:numPr>
      <w:tabs>
        <w:tab w:val="clear" w:pos="567"/>
        <w:tab w:val="clear" w:pos="851"/>
        <w:tab w:val="clear" w:pos="1985"/>
        <w:tab w:val="clear" w:pos="3119"/>
        <w:tab w:val="clear" w:pos="4253"/>
        <w:tab w:val="clear" w:pos="7655"/>
      </w:tabs>
      <w:spacing w:line="240" w:lineRule="auto"/>
    </w:pPr>
    <w:rPr>
      <w:rFonts w:ascii="Verdana" w:hAnsi="Verdana"/>
      <w:color w:val="FFFFFF"/>
      <w:lang w:val="nl-BE" w:eastAsia="nl-BE"/>
    </w:rPr>
  </w:style>
  <w:style w:type="paragraph" w:styleId="Revision">
    <w:name w:val="Revision"/>
    <w:hidden/>
    <w:uiPriority w:val="99"/>
    <w:semiHidden/>
    <w:rsid w:val="001E3E9E"/>
    <w:rPr>
      <w:rFonts w:ascii="Helvetica 45 Light" w:hAnsi="Helvetica 45 Light"/>
      <w:sz w:val="20"/>
      <w:szCs w:val="20"/>
      <w:lang w:val="en-GB" w:eastAsia="en-GB"/>
    </w:rPr>
  </w:style>
  <w:style w:type="table" w:styleId="TableGrid">
    <w:name w:val="Table Grid"/>
    <w:basedOn w:val="TableNormal"/>
    <w:uiPriority w:val="99"/>
    <w:rsid w:val="007B22B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91642">
      <w:marLeft w:val="0"/>
      <w:marRight w:val="0"/>
      <w:marTop w:val="0"/>
      <w:marBottom w:val="0"/>
      <w:divBdr>
        <w:top w:val="none" w:sz="0" w:space="0" w:color="auto"/>
        <w:left w:val="none" w:sz="0" w:space="0" w:color="auto"/>
        <w:bottom w:val="none" w:sz="0" w:space="0" w:color="auto"/>
        <w:right w:val="none" w:sz="0" w:space="0" w:color="auto"/>
      </w:divBdr>
    </w:div>
    <w:div w:id="4291643">
      <w:marLeft w:val="0"/>
      <w:marRight w:val="0"/>
      <w:marTop w:val="0"/>
      <w:marBottom w:val="0"/>
      <w:divBdr>
        <w:top w:val="none" w:sz="0" w:space="0" w:color="auto"/>
        <w:left w:val="none" w:sz="0" w:space="0" w:color="auto"/>
        <w:bottom w:val="none" w:sz="0" w:space="0" w:color="auto"/>
        <w:right w:val="none" w:sz="0" w:space="0" w:color="auto"/>
      </w:divBdr>
    </w:div>
    <w:div w:id="4291644">
      <w:marLeft w:val="0"/>
      <w:marRight w:val="0"/>
      <w:marTop w:val="0"/>
      <w:marBottom w:val="0"/>
      <w:divBdr>
        <w:top w:val="none" w:sz="0" w:space="0" w:color="auto"/>
        <w:left w:val="none" w:sz="0" w:space="0" w:color="auto"/>
        <w:bottom w:val="none" w:sz="0" w:space="0" w:color="auto"/>
        <w:right w:val="none" w:sz="0" w:space="0" w:color="auto"/>
      </w:divBdr>
    </w:div>
    <w:div w:id="4291646">
      <w:marLeft w:val="0"/>
      <w:marRight w:val="0"/>
      <w:marTop w:val="0"/>
      <w:marBottom w:val="0"/>
      <w:divBdr>
        <w:top w:val="none" w:sz="0" w:space="0" w:color="auto"/>
        <w:left w:val="none" w:sz="0" w:space="0" w:color="auto"/>
        <w:bottom w:val="none" w:sz="0" w:space="0" w:color="auto"/>
        <w:right w:val="none" w:sz="0" w:space="0" w:color="auto"/>
      </w:divBdr>
    </w:div>
    <w:div w:id="4291647">
      <w:marLeft w:val="0"/>
      <w:marRight w:val="0"/>
      <w:marTop w:val="0"/>
      <w:marBottom w:val="0"/>
      <w:divBdr>
        <w:top w:val="none" w:sz="0" w:space="0" w:color="auto"/>
        <w:left w:val="none" w:sz="0" w:space="0" w:color="auto"/>
        <w:bottom w:val="none" w:sz="0" w:space="0" w:color="auto"/>
        <w:right w:val="none" w:sz="0" w:space="0" w:color="auto"/>
      </w:divBdr>
    </w:div>
    <w:div w:id="4291649">
      <w:marLeft w:val="0"/>
      <w:marRight w:val="0"/>
      <w:marTop w:val="0"/>
      <w:marBottom w:val="0"/>
      <w:divBdr>
        <w:top w:val="none" w:sz="0" w:space="0" w:color="auto"/>
        <w:left w:val="none" w:sz="0" w:space="0" w:color="auto"/>
        <w:bottom w:val="none" w:sz="0" w:space="0" w:color="auto"/>
        <w:right w:val="none" w:sz="0" w:space="0" w:color="auto"/>
      </w:divBdr>
    </w:div>
    <w:div w:id="4291650">
      <w:marLeft w:val="0"/>
      <w:marRight w:val="0"/>
      <w:marTop w:val="0"/>
      <w:marBottom w:val="0"/>
      <w:divBdr>
        <w:top w:val="none" w:sz="0" w:space="0" w:color="auto"/>
        <w:left w:val="none" w:sz="0" w:space="0" w:color="auto"/>
        <w:bottom w:val="none" w:sz="0" w:space="0" w:color="auto"/>
        <w:right w:val="none" w:sz="0" w:space="0" w:color="auto"/>
      </w:divBdr>
    </w:div>
    <w:div w:id="4291651">
      <w:marLeft w:val="0"/>
      <w:marRight w:val="0"/>
      <w:marTop w:val="0"/>
      <w:marBottom w:val="0"/>
      <w:divBdr>
        <w:top w:val="none" w:sz="0" w:space="0" w:color="auto"/>
        <w:left w:val="none" w:sz="0" w:space="0" w:color="auto"/>
        <w:bottom w:val="none" w:sz="0" w:space="0" w:color="auto"/>
        <w:right w:val="none" w:sz="0" w:space="0" w:color="auto"/>
      </w:divBdr>
    </w:div>
    <w:div w:id="4291653">
      <w:marLeft w:val="0"/>
      <w:marRight w:val="0"/>
      <w:marTop w:val="0"/>
      <w:marBottom w:val="0"/>
      <w:divBdr>
        <w:top w:val="none" w:sz="0" w:space="0" w:color="auto"/>
        <w:left w:val="none" w:sz="0" w:space="0" w:color="auto"/>
        <w:bottom w:val="none" w:sz="0" w:space="0" w:color="auto"/>
        <w:right w:val="none" w:sz="0" w:space="0" w:color="auto"/>
      </w:divBdr>
    </w:div>
    <w:div w:id="4291655">
      <w:marLeft w:val="0"/>
      <w:marRight w:val="0"/>
      <w:marTop w:val="0"/>
      <w:marBottom w:val="0"/>
      <w:divBdr>
        <w:top w:val="none" w:sz="0" w:space="0" w:color="auto"/>
        <w:left w:val="none" w:sz="0" w:space="0" w:color="auto"/>
        <w:bottom w:val="none" w:sz="0" w:space="0" w:color="auto"/>
        <w:right w:val="none" w:sz="0" w:space="0" w:color="auto"/>
      </w:divBdr>
      <w:divsChild>
        <w:div w:id="4291690">
          <w:marLeft w:val="0"/>
          <w:marRight w:val="0"/>
          <w:marTop w:val="192"/>
          <w:marBottom w:val="0"/>
          <w:divBdr>
            <w:top w:val="none" w:sz="0" w:space="0" w:color="auto"/>
            <w:left w:val="none" w:sz="0" w:space="0" w:color="auto"/>
            <w:bottom w:val="none" w:sz="0" w:space="0" w:color="auto"/>
            <w:right w:val="none" w:sz="0" w:space="0" w:color="auto"/>
          </w:divBdr>
        </w:div>
      </w:divsChild>
    </w:div>
    <w:div w:id="4291656">
      <w:marLeft w:val="0"/>
      <w:marRight w:val="0"/>
      <w:marTop w:val="0"/>
      <w:marBottom w:val="0"/>
      <w:divBdr>
        <w:top w:val="none" w:sz="0" w:space="0" w:color="auto"/>
        <w:left w:val="none" w:sz="0" w:space="0" w:color="auto"/>
        <w:bottom w:val="none" w:sz="0" w:space="0" w:color="auto"/>
        <w:right w:val="none" w:sz="0" w:space="0" w:color="auto"/>
      </w:divBdr>
    </w:div>
    <w:div w:id="4291657">
      <w:marLeft w:val="0"/>
      <w:marRight w:val="0"/>
      <w:marTop w:val="0"/>
      <w:marBottom w:val="0"/>
      <w:divBdr>
        <w:top w:val="none" w:sz="0" w:space="0" w:color="auto"/>
        <w:left w:val="none" w:sz="0" w:space="0" w:color="auto"/>
        <w:bottom w:val="none" w:sz="0" w:space="0" w:color="auto"/>
        <w:right w:val="none" w:sz="0" w:space="0" w:color="auto"/>
      </w:divBdr>
    </w:div>
    <w:div w:id="4291658">
      <w:marLeft w:val="0"/>
      <w:marRight w:val="0"/>
      <w:marTop w:val="0"/>
      <w:marBottom w:val="0"/>
      <w:divBdr>
        <w:top w:val="none" w:sz="0" w:space="0" w:color="auto"/>
        <w:left w:val="none" w:sz="0" w:space="0" w:color="auto"/>
        <w:bottom w:val="none" w:sz="0" w:space="0" w:color="auto"/>
        <w:right w:val="none" w:sz="0" w:space="0" w:color="auto"/>
      </w:divBdr>
    </w:div>
    <w:div w:id="4291660">
      <w:marLeft w:val="0"/>
      <w:marRight w:val="0"/>
      <w:marTop w:val="0"/>
      <w:marBottom w:val="0"/>
      <w:divBdr>
        <w:top w:val="none" w:sz="0" w:space="0" w:color="auto"/>
        <w:left w:val="none" w:sz="0" w:space="0" w:color="auto"/>
        <w:bottom w:val="none" w:sz="0" w:space="0" w:color="auto"/>
        <w:right w:val="none" w:sz="0" w:space="0" w:color="auto"/>
      </w:divBdr>
    </w:div>
    <w:div w:id="4291661">
      <w:marLeft w:val="0"/>
      <w:marRight w:val="0"/>
      <w:marTop w:val="0"/>
      <w:marBottom w:val="0"/>
      <w:divBdr>
        <w:top w:val="none" w:sz="0" w:space="0" w:color="auto"/>
        <w:left w:val="none" w:sz="0" w:space="0" w:color="auto"/>
        <w:bottom w:val="none" w:sz="0" w:space="0" w:color="auto"/>
        <w:right w:val="none" w:sz="0" w:space="0" w:color="auto"/>
      </w:divBdr>
    </w:div>
    <w:div w:id="4291663">
      <w:marLeft w:val="0"/>
      <w:marRight w:val="0"/>
      <w:marTop w:val="0"/>
      <w:marBottom w:val="0"/>
      <w:divBdr>
        <w:top w:val="none" w:sz="0" w:space="0" w:color="auto"/>
        <w:left w:val="none" w:sz="0" w:space="0" w:color="auto"/>
        <w:bottom w:val="none" w:sz="0" w:space="0" w:color="auto"/>
        <w:right w:val="none" w:sz="0" w:space="0" w:color="auto"/>
      </w:divBdr>
    </w:div>
    <w:div w:id="4291664">
      <w:marLeft w:val="0"/>
      <w:marRight w:val="0"/>
      <w:marTop w:val="0"/>
      <w:marBottom w:val="0"/>
      <w:divBdr>
        <w:top w:val="none" w:sz="0" w:space="0" w:color="auto"/>
        <w:left w:val="none" w:sz="0" w:space="0" w:color="auto"/>
        <w:bottom w:val="none" w:sz="0" w:space="0" w:color="auto"/>
        <w:right w:val="none" w:sz="0" w:space="0" w:color="auto"/>
      </w:divBdr>
    </w:div>
    <w:div w:id="4291665">
      <w:marLeft w:val="0"/>
      <w:marRight w:val="0"/>
      <w:marTop w:val="0"/>
      <w:marBottom w:val="0"/>
      <w:divBdr>
        <w:top w:val="none" w:sz="0" w:space="0" w:color="auto"/>
        <w:left w:val="none" w:sz="0" w:space="0" w:color="auto"/>
        <w:bottom w:val="none" w:sz="0" w:space="0" w:color="auto"/>
        <w:right w:val="none" w:sz="0" w:space="0" w:color="auto"/>
      </w:divBdr>
    </w:div>
    <w:div w:id="4291667">
      <w:marLeft w:val="0"/>
      <w:marRight w:val="0"/>
      <w:marTop w:val="0"/>
      <w:marBottom w:val="0"/>
      <w:divBdr>
        <w:top w:val="none" w:sz="0" w:space="0" w:color="auto"/>
        <w:left w:val="none" w:sz="0" w:space="0" w:color="auto"/>
        <w:bottom w:val="none" w:sz="0" w:space="0" w:color="auto"/>
        <w:right w:val="none" w:sz="0" w:space="0" w:color="auto"/>
      </w:divBdr>
    </w:div>
    <w:div w:id="4291668">
      <w:marLeft w:val="0"/>
      <w:marRight w:val="0"/>
      <w:marTop w:val="0"/>
      <w:marBottom w:val="0"/>
      <w:divBdr>
        <w:top w:val="none" w:sz="0" w:space="0" w:color="auto"/>
        <w:left w:val="none" w:sz="0" w:space="0" w:color="auto"/>
        <w:bottom w:val="none" w:sz="0" w:space="0" w:color="auto"/>
        <w:right w:val="none" w:sz="0" w:space="0" w:color="auto"/>
      </w:divBdr>
    </w:div>
    <w:div w:id="4291670">
      <w:marLeft w:val="0"/>
      <w:marRight w:val="0"/>
      <w:marTop w:val="0"/>
      <w:marBottom w:val="0"/>
      <w:divBdr>
        <w:top w:val="none" w:sz="0" w:space="0" w:color="auto"/>
        <w:left w:val="none" w:sz="0" w:space="0" w:color="auto"/>
        <w:bottom w:val="none" w:sz="0" w:space="0" w:color="auto"/>
        <w:right w:val="none" w:sz="0" w:space="0" w:color="auto"/>
      </w:divBdr>
    </w:div>
    <w:div w:id="4291671">
      <w:marLeft w:val="0"/>
      <w:marRight w:val="0"/>
      <w:marTop w:val="0"/>
      <w:marBottom w:val="0"/>
      <w:divBdr>
        <w:top w:val="none" w:sz="0" w:space="0" w:color="auto"/>
        <w:left w:val="none" w:sz="0" w:space="0" w:color="auto"/>
        <w:bottom w:val="none" w:sz="0" w:space="0" w:color="auto"/>
        <w:right w:val="none" w:sz="0" w:space="0" w:color="auto"/>
      </w:divBdr>
    </w:div>
    <w:div w:id="4291673">
      <w:marLeft w:val="0"/>
      <w:marRight w:val="0"/>
      <w:marTop w:val="0"/>
      <w:marBottom w:val="0"/>
      <w:divBdr>
        <w:top w:val="none" w:sz="0" w:space="0" w:color="auto"/>
        <w:left w:val="none" w:sz="0" w:space="0" w:color="auto"/>
        <w:bottom w:val="none" w:sz="0" w:space="0" w:color="auto"/>
        <w:right w:val="none" w:sz="0" w:space="0" w:color="auto"/>
      </w:divBdr>
    </w:div>
    <w:div w:id="4291674">
      <w:marLeft w:val="0"/>
      <w:marRight w:val="0"/>
      <w:marTop w:val="0"/>
      <w:marBottom w:val="0"/>
      <w:divBdr>
        <w:top w:val="none" w:sz="0" w:space="0" w:color="auto"/>
        <w:left w:val="none" w:sz="0" w:space="0" w:color="auto"/>
        <w:bottom w:val="none" w:sz="0" w:space="0" w:color="auto"/>
        <w:right w:val="none" w:sz="0" w:space="0" w:color="auto"/>
      </w:divBdr>
    </w:div>
    <w:div w:id="4291675">
      <w:marLeft w:val="0"/>
      <w:marRight w:val="0"/>
      <w:marTop w:val="0"/>
      <w:marBottom w:val="0"/>
      <w:divBdr>
        <w:top w:val="none" w:sz="0" w:space="0" w:color="auto"/>
        <w:left w:val="none" w:sz="0" w:space="0" w:color="auto"/>
        <w:bottom w:val="none" w:sz="0" w:space="0" w:color="auto"/>
        <w:right w:val="none" w:sz="0" w:space="0" w:color="auto"/>
      </w:divBdr>
    </w:div>
    <w:div w:id="4291677">
      <w:marLeft w:val="0"/>
      <w:marRight w:val="0"/>
      <w:marTop w:val="0"/>
      <w:marBottom w:val="0"/>
      <w:divBdr>
        <w:top w:val="none" w:sz="0" w:space="0" w:color="auto"/>
        <w:left w:val="none" w:sz="0" w:space="0" w:color="auto"/>
        <w:bottom w:val="none" w:sz="0" w:space="0" w:color="auto"/>
        <w:right w:val="none" w:sz="0" w:space="0" w:color="auto"/>
      </w:divBdr>
    </w:div>
    <w:div w:id="4291679">
      <w:marLeft w:val="0"/>
      <w:marRight w:val="0"/>
      <w:marTop w:val="0"/>
      <w:marBottom w:val="0"/>
      <w:divBdr>
        <w:top w:val="none" w:sz="0" w:space="0" w:color="auto"/>
        <w:left w:val="none" w:sz="0" w:space="0" w:color="auto"/>
        <w:bottom w:val="none" w:sz="0" w:space="0" w:color="auto"/>
        <w:right w:val="none" w:sz="0" w:space="0" w:color="auto"/>
      </w:divBdr>
    </w:div>
    <w:div w:id="4291680">
      <w:marLeft w:val="0"/>
      <w:marRight w:val="0"/>
      <w:marTop w:val="0"/>
      <w:marBottom w:val="0"/>
      <w:divBdr>
        <w:top w:val="none" w:sz="0" w:space="0" w:color="auto"/>
        <w:left w:val="none" w:sz="0" w:space="0" w:color="auto"/>
        <w:bottom w:val="none" w:sz="0" w:space="0" w:color="auto"/>
        <w:right w:val="none" w:sz="0" w:space="0" w:color="auto"/>
      </w:divBdr>
      <w:divsChild>
        <w:div w:id="4291689">
          <w:marLeft w:val="-7680"/>
          <w:marRight w:val="0"/>
          <w:marTop w:val="0"/>
          <w:marBottom w:val="0"/>
          <w:divBdr>
            <w:top w:val="none" w:sz="0" w:space="0" w:color="auto"/>
            <w:left w:val="none" w:sz="0" w:space="0" w:color="auto"/>
            <w:bottom w:val="none" w:sz="0" w:space="0" w:color="auto"/>
            <w:right w:val="none" w:sz="0" w:space="0" w:color="auto"/>
          </w:divBdr>
          <w:divsChild>
            <w:div w:id="4291672">
              <w:marLeft w:val="0"/>
              <w:marRight w:val="0"/>
              <w:marTop w:val="405"/>
              <w:marBottom w:val="0"/>
              <w:divBdr>
                <w:top w:val="none" w:sz="0" w:space="0" w:color="auto"/>
                <w:left w:val="none" w:sz="0" w:space="0" w:color="auto"/>
                <w:bottom w:val="none" w:sz="0" w:space="0" w:color="auto"/>
                <w:right w:val="none" w:sz="0" w:space="0" w:color="auto"/>
              </w:divBdr>
              <w:divsChild>
                <w:div w:id="4291687">
                  <w:marLeft w:val="0"/>
                  <w:marRight w:val="0"/>
                  <w:marTop w:val="0"/>
                  <w:marBottom w:val="0"/>
                  <w:divBdr>
                    <w:top w:val="none" w:sz="0" w:space="0" w:color="auto"/>
                    <w:left w:val="none" w:sz="0" w:space="0" w:color="auto"/>
                    <w:bottom w:val="none" w:sz="0" w:space="0" w:color="auto"/>
                    <w:right w:val="none" w:sz="0" w:space="0" w:color="auto"/>
                  </w:divBdr>
                  <w:divsChild>
                    <w:div w:id="4291645">
                      <w:marLeft w:val="0"/>
                      <w:marRight w:val="0"/>
                      <w:marTop w:val="0"/>
                      <w:marBottom w:val="0"/>
                      <w:divBdr>
                        <w:top w:val="none" w:sz="0" w:space="0" w:color="auto"/>
                        <w:left w:val="none" w:sz="0" w:space="0" w:color="auto"/>
                        <w:bottom w:val="none" w:sz="0" w:space="0" w:color="auto"/>
                        <w:right w:val="none" w:sz="0" w:space="0" w:color="auto"/>
                      </w:divBdr>
                      <w:divsChild>
                        <w:div w:id="4291654">
                          <w:marLeft w:val="0"/>
                          <w:marRight w:val="0"/>
                          <w:marTop w:val="0"/>
                          <w:marBottom w:val="0"/>
                          <w:divBdr>
                            <w:top w:val="none" w:sz="0" w:space="0" w:color="auto"/>
                            <w:left w:val="none" w:sz="0" w:space="0" w:color="auto"/>
                            <w:bottom w:val="none" w:sz="0" w:space="0" w:color="auto"/>
                            <w:right w:val="none" w:sz="0" w:space="0" w:color="auto"/>
                          </w:divBdr>
                          <w:divsChild>
                            <w:div w:id="4291652">
                              <w:marLeft w:val="0"/>
                              <w:marRight w:val="150"/>
                              <w:marTop w:val="0"/>
                              <w:marBottom w:val="0"/>
                              <w:divBdr>
                                <w:top w:val="none" w:sz="0" w:space="0" w:color="auto"/>
                                <w:left w:val="none" w:sz="0" w:space="0" w:color="auto"/>
                                <w:bottom w:val="none" w:sz="0" w:space="0" w:color="auto"/>
                                <w:right w:val="none" w:sz="0" w:space="0" w:color="auto"/>
                              </w:divBdr>
                              <w:divsChild>
                                <w:div w:id="4291648">
                                  <w:marLeft w:val="0"/>
                                  <w:marRight w:val="0"/>
                                  <w:marTop w:val="0"/>
                                  <w:marBottom w:val="150"/>
                                  <w:divBdr>
                                    <w:top w:val="none" w:sz="0" w:space="0" w:color="auto"/>
                                    <w:left w:val="none" w:sz="0" w:space="0" w:color="auto"/>
                                    <w:bottom w:val="none" w:sz="0" w:space="0" w:color="auto"/>
                                    <w:right w:val="none" w:sz="0" w:space="0" w:color="auto"/>
                                  </w:divBdr>
                                  <w:divsChild>
                                    <w:div w:id="42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1682">
      <w:marLeft w:val="0"/>
      <w:marRight w:val="0"/>
      <w:marTop w:val="0"/>
      <w:marBottom w:val="0"/>
      <w:divBdr>
        <w:top w:val="none" w:sz="0" w:space="0" w:color="auto"/>
        <w:left w:val="none" w:sz="0" w:space="0" w:color="auto"/>
        <w:bottom w:val="none" w:sz="0" w:space="0" w:color="auto"/>
        <w:right w:val="none" w:sz="0" w:space="0" w:color="auto"/>
      </w:divBdr>
    </w:div>
    <w:div w:id="4291683">
      <w:marLeft w:val="0"/>
      <w:marRight w:val="0"/>
      <w:marTop w:val="0"/>
      <w:marBottom w:val="0"/>
      <w:divBdr>
        <w:top w:val="none" w:sz="0" w:space="0" w:color="auto"/>
        <w:left w:val="none" w:sz="0" w:space="0" w:color="auto"/>
        <w:bottom w:val="none" w:sz="0" w:space="0" w:color="auto"/>
        <w:right w:val="none" w:sz="0" w:space="0" w:color="auto"/>
      </w:divBdr>
    </w:div>
    <w:div w:id="4291684">
      <w:marLeft w:val="0"/>
      <w:marRight w:val="0"/>
      <w:marTop w:val="0"/>
      <w:marBottom w:val="0"/>
      <w:divBdr>
        <w:top w:val="none" w:sz="0" w:space="0" w:color="auto"/>
        <w:left w:val="none" w:sz="0" w:space="0" w:color="auto"/>
        <w:bottom w:val="none" w:sz="0" w:space="0" w:color="auto"/>
        <w:right w:val="none" w:sz="0" w:space="0" w:color="auto"/>
      </w:divBdr>
    </w:div>
    <w:div w:id="4291686">
      <w:marLeft w:val="0"/>
      <w:marRight w:val="0"/>
      <w:marTop w:val="0"/>
      <w:marBottom w:val="0"/>
      <w:divBdr>
        <w:top w:val="none" w:sz="0" w:space="0" w:color="auto"/>
        <w:left w:val="none" w:sz="0" w:space="0" w:color="auto"/>
        <w:bottom w:val="none" w:sz="0" w:space="0" w:color="auto"/>
        <w:right w:val="none" w:sz="0" w:space="0" w:color="auto"/>
      </w:divBdr>
    </w:div>
    <w:div w:id="4291688">
      <w:marLeft w:val="0"/>
      <w:marRight w:val="0"/>
      <w:marTop w:val="0"/>
      <w:marBottom w:val="0"/>
      <w:divBdr>
        <w:top w:val="none" w:sz="0" w:space="0" w:color="auto"/>
        <w:left w:val="none" w:sz="0" w:space="0" w:color="auto"/>
        <w:bottom w:val="none" w:sz="0" w:space="0" w:color="auto"/>
        <w:right w:val="none" w:sz="0" w:space="0" w:color="auto"/>
      </w:divBdr>
      <w:divsChild>
        <w:div w:id="4291685">
          <w:marLeft w:val="-7680"/>
          <w:marRight w:val="0"/>
          <w:marTop w:val="0"/>
          <w:marBottom w:val="0"/>
          <w:divBdr>
            <w:top w:val="none" w:sz="0" w:space="0" w:color="auto"/>
            <w:left w:val="none" w:sz="0" w:space="0" w:color="auto"/>
            <w:bottom w:val="none" w:sz="0" w:space="0" w:color="auto"/>
            <w:right w:val="none" w:sz="0" w:space="0" w:color="auto"/>
          </w:divBdr>
          <w:divsChild>
            <w:div w:id="4291692">
              <w:marLeft w:val="0"/>
              <w:marRight w:val="0"/>
              <w:marTop w:val="405"/>
              <w:marBottom w:val="0"/>
              <w:divBdr>
                <w:top w:val="none" w:sz="0" w:space="0" w:color="auto"/>
                <w:left w:val="none" w:sz="0" w:space="0" w:color="auto"/>
                <w:bottom w:val="none" w:sz="0" w:space="0" w:color="auto"/>
                <w:right w:val="none" w:sz="0" w:space="0" w:color="auto"/>
              </w:divBdr>
              <w:divsChild>
                <w:div w:id="4291659">
                  <w:marLeft w:val="0"/>
                  <w:marRight w:val="0"/>
                  <w:marTop w:val="0"/>
                  <w:marBottom w:val="0"/>
                  <w:divBdr>
                    <w:top w:val="none" w:sz="0" w:space="0" w:color="auto"/>
                    <w:left w:val="none" w:sz="0" w:space="0" w:color="auto"/>
                    <w:bottom w:val="none" w:sz="0" w:space="0" w:color="auto"/>
                    <w:right w:val="none" w:sz="0" w:space="0" w:color="auto"/>
                  </w:divBdr>
                  <w:divsChild>
                    <w:div w:id="4291678">
                      <w:marLeft w:val="0"/>
                      <w:marRight w:val="0"/>
                      <w:marTop w:val="0"/>
                      <w:marBottom w:val="0"/>
                      <w:divBdr>
                        <w:top w:val="none" w:sz="0" w:space="0" w:color="auto"/>
                        <w:left w:val="none" w:sz="0" w:space="0" w:color="auto"/>
                        <w:bottom w:val="none" w:sz="0" w:space="0" w:color="auto"/>
                        <w:right w:val="none" w:sz="0" w:space="0" w:color="auto"/>
                      </w:divBdr>
                      <w:divsChild>
                        <w:div w:id="4291662">
                          <w:marLeft w:val="0"/>
                          <w:marRight w:val="0"/>
                          <w:marTop w:val="0"/>
                          <w:marBottom w:val="0"/>
                          <w:divBdr>
                            <w:top w:val="none" w:sz="0" w:space="0" w:color="auto"/>
                            <w:left w:val="none" w:sz="0" w:space="0" w:color="auto"/>
                            <w:bottom w:val="none" w:sz="0" w:space="0" w:color="auto"/>
                            <w:right w:val="none" w:sz="0" w:space="0" w:color="auto"/>
                          </w:divBdr>
                          <w:divsChild>
                            <w:div w:id="4291669">
                              <w:marLeft w:val="0"/>
                              <w:marRight w:val="150"/>
                              <w:marTop w:val="0"/>
                              <w:marBottom w:val="0"/>
                              <w:divBdr>
                                <w:top w:val="none" w:sz="0" w:space="0" w:color="auto"/>
                                <w:left w:val="none" w:sz="0" w:space="0" w:color="auto"/>
                                <w:bottom w:val="none" w:sz="0" w:space="0" w:color="auto"/>
                                <w:right w:val="none" w:sz="0" w:space="0" w:color="auto"/>
                              </w:divBdr>
                              <w:divsChild>
                                <w:div w:id="4291676">
                                  <w:marLeft w:val="0"/>
                                  <w:marRight w:val="0"/>
                                  <w:marTop w:val="225"/>
                                  <w:marBottom w:val="0"/>
                                  <w:divBdr>
                                    <w:top w:val="none" w:sz="0" w:space="0" w:color="auto"/>
                                    <w:left w:val="none" w:sz="0" w:space="0" w:color="auto"/>
                                    <w:bottom w:val="none" w:sz="0" w:space="0" w:color="auto"/>
                                    <w:right w:val="none" w:sz="0" w:space="0" w:color="auto"/>
                                  </w:divBdr>
                                  <w:divsChild>
                                    <w:div w:id="42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16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gvilatte@deloitte.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mokompas.b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e\Documents\Vertalingen\Misty\Deloitte\Template_News%20Release_A4_200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Template_News Release_A4_2009.dotx</Template>
  <TotalTime>1</TotalTime>
  <Pages>7</Pages>
  <Words>1904</Words>
  <Characters>10474</Characters>
  <Application>Microsoft Office Outlook</Application>
  <DocSecurity>0</DocSecurity>
  <Lines>0</Lines>
  <Paragraphs>0</Paragraphs>
  <ScaleCrop>false</ScaleCrop>
  <Company>The Partners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Gaëlle Vilatte</dc:title>
  <dc:subject/>
  <dc:creator>gvilatte</dc:creator>
  <cp:keywords/>
  <dc:description/>
  <cp:lastModifiedBy>Nicole  De Smyter</cp:lastModifiedBy>
  <cp:revision>2</cp:revision>
  <cp:lastPrinted>2011-10-13T13:47:00Z</cp:lastPrinted>
  <dcterms:created xsi:type="dcterms:W3CDTF">2011-10-18T12:25:00Z</dcterms:created>
  <dcterms:modified xsi:type="dcterms:W3CDTF">2011-10-18T12:25:00Z</dcterms:modified>
</cp:coreProperties>
</file>